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B3" w:rsidRDefault="005113B3">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28"/>
          <w:szCs w:val="28"/>
        </w:rPr>
      </w:pPr>
      <w:bookmarkStart w:id="0" w:name="_GoBack"/>
      <w:bookmarkEnd w:id="0"/>
    </w:p>
    <w:p w:rsidR="005113B3" w:rsidRDefault="005113B3">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28"/>
          <w:szCs w:val="28"/>
        </w:rPr>
      </w:pPr>
    </w:p>
    <w:p w:rsidR="005113B3" w:rsidRDefault="005113B3">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28"/>
          <w:szCs w:val="28"/>
        </w:rPr>
      </w:pPr>
    </w:p>
    <w:p w:rsidR="005113B3" w:rsidRDefault="005113B3">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28"/>
          <w:szCs w:val="28"/>
        </w:rPr>
      </w:pPr>
    </w:p>
    <w:p w:rsidR="005113B3" w:rsidRDefault="005113B3">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28"/>
          <w:szCs w:val="28"/>
        </w:rPr>
      </w:pPr>
    </w:p>
    <w:p w:rsidR="005113B3" w:rsidRDefault="005113B3">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28"/>
          <w:szCs w:val="28"/>
        </w:rPr>
      </w:pPr>
    </w:p>
    <w:p w:rsidR="005113B3" w:rsidRDefault="005113B3">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28"/>
          <w:szCs w:val="28"/>
        </w:rPr>
      </w:pPr>
    </w:p>
    <w:p w:rsidR="005113B3" w:rsidRDefault="005113B3">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28"/>
          <w:szCs w:val="28"/>
        </w:rPr>
      </w:pPr>
    </w:p>
    <w:p w:rsidR="005113B3" w:rsidRDefault="00AC1D27">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44"/>
          <w:szCs w:val="44"/>
        </w:rPr>
      </w:pPr>
      <w:r>
        <w:rPr>
          <w:rFonts w:ascii="Arial Narrow" w:eastAsia="Arial Narrow" w:hAnsi="Arial Narrow" w:cs="Arial Narrow"/>
          <w:b/>
          <w:color w:val="000000"/>
          <w:sz w:val="44"/>
          <w:szCs w:val="44"/>
        </w:rPr>
        <w:t xml:space="preserve">University of Alberta </w:t>
      </w:r>
    </w:p>
    <w:p w:rsidR="005113B3" w:rsidRDefault="005113B3">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44"/>
          <w:szCs w:val="44"/>
        </w:rPr>
      </w:pPr>
    </w:p>
    <w:p w:rsidR="005113B3" w:rsidRDefault="005113B3">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44"/>
          <w:szCs w:val="44"/>
        </w:rPr>
      </w:pPr>
    </w:p>
    <w:p w:rsidR="005113B3" w:rsidRDefault="005113B3">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44"/>
          <w:szCs w:val="44"/>
        </w:rPr>
      </w:pPr>
    </w:p>
    <w:p w:rsidR="005113B3" w:rsidRDefault="00AC1D27">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44"/>
          <w:szCs w:val="44"/>
        </w:rPr>
      </w:pPr>
      <w:r>
        <w:rPr>
          <w:rFonts w:ascii="Arial Narrow" w:eastAsia="Arial Narrow" w:hAnsi="Arial Narrow" w:cs="Arial Narrow"/>
          <w:b/>
          <w:color w:val="000000"/>
          <w:sz w:val="44"/>
          <w:szCs w:val="44"/>
        </w:rPr>
        <w:t>Financial Management (FI)</w:t>
      </w:r>
    </w:p>
    <w:p w:rsidR="005113B3" w:rsidRDefault="005113B3">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44"/>
          <w:szCs w:val="44"/>
        </w:rPr>
      </w:pPr>
    </w:p>
    <w:p w:rsidR="005113B3" w:rsidRDefault="00AC1D27">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44"/>
          <w:szCs w:val="44"/>
        </w:rPr>
      </w:pPr>
      <w:r>
        <w:rPr>
          <w:rFonts w:ascii="Arial Narrow" w:eastAsia="Arial Narrow" w:hAnsi="Arial Narrow" w:cs="Arial Narrow"/>
          <w:b/>
          <w:color w:val="000000"/>
          <w:sz w:val="44"/>
          <w:szCs w:val="44"/>
        </w:rPr>
        <w:t>Records Retention Schedule</w:t>
      </w:r>
    </w:p>
    <w:p w:rsidR="005113B3" w:rsidRDefault="005113B3">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44"/>
          <w:szCs w:val="44"/>
        </w:rPr>
      </w:pPr>
    </w:p>
    <w:p w:rsidR="005113B3" w:rsidRDefault="005113B3">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36"/>
          <w:szCs w:val="36"/>
        </w:rPr>
      </w:pPr>
    </w:p>
    <w:p w:rsidR="005113B3" w:rsidRDefault="00AC1D27">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36"/>
          <w:szCs w:val="36"/>
        </w:rPr>
      </w:pPr>
      <w:r>
        <w:rPr>
          <w:rFonts w:ascii="Arial Narrow" w:eastAsia="Arial Narrow" w:hAnsi="Arial Narrow" w:cs="Arial Narrow"/>
          <w:b/>
          <w:color w:val="000000"/>
          <w:sz w:val="36"/>
          <w:szCs w:val="36"/>
        </w:rPr>
        <w:t>May 13, 2019</w:t>
      </w:r>
    </w:p>
    <w:p w:rsidR="005113B3" w:rsidRDefault="005113B3">
      <w:pPr>
        <w:pBdr>
          <w:top w:val="nil"/>
          <w:left w:val="nil"/>
          <w:bottom w:val="nil"/>
          <w:right w:val="nil"/>
          <w:between w:val="nil"/>
        </w:pBdr>
      </w:pPr>
    </w:p>
    <w:p w:rsidR="005113B3" w:rsidRDefault="00AC1D27">
      <w:pPr>
        <w:ind w:left="-270"/>
        <w:rPr>
          <w:rFonts w:ascii="Arial Narrow" w:eastAsia="Arial Narrow" w:hAnsi="Arial Narrow" w:cs="Arial Narrow"/>
          <w:b/>
        </w:rPr>
      </w:pPr>
      <w:r>
        <w:rPr>
          <w:rFonts w:ascii="Arial Narrow" w:eastAsia="Arial Narrow" w:hAnsi="Arial Narrow" w:cs="Arial Narrow"/>
          <w:b/>
        </w:rPr>
        <w:t>Approval</w:t>
      </w:r>
    </w:p>
    <w:tbl>
      <w:tblPr>
        <w:tblStyle w:val="a5"/>
        <w:tblW w:w="991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5113B3">
        <w:tc>
          <w:tcPr>
            <w:tcW w:w="9915" w:type="dxa"/>
            <w:shd w:val="clear" w:color="auto" w:fill="auto"/>
            <w:tcMar>
              <w:top w:w="100" w:type="dxa"/>
              <w:left w:w="100" w:type="dxa"/>
              <w:bottom w:w="100" w:type="dxa"/>
              <w:right w:w="100" w:type="dxa"/>
            </w:tcMar>
          </w:tcPr>
          <w:p w:rsidR="005113B3" w:rsidRDefault="00AC1D27">
            <w:pPr>
              <w:widowControl w:val="0"/>
              <w:pBdr>
                <w:top w:val="nil"/>
                <w:left w:val="nil"/>
                <w:bottom w:val="nil"/>
                <w:right w:val="nil"/>
                <w:between w:val="nil"/>
              </w:pBd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 hereby confirm that this Records Retention Schedule is an accurate description of records/information supporting my department's business functions and that the prescribed records retention period meets reasonably identifiable legal and business requirem</w:t>
            </w:r>
            <w:r>
              <w:rPr>
                <w:rFonts w:ascii="Arial Narrow" w:eastAsia="Arial Narrow" w:hAnsi="Arial Narrow" w:cs="Arial Narrow"/>
                <w:sz w:val="20"/>
                <w:szCs w:val="20"/>
              </w:rPr>
              <w:t>ents.</w:t>
            </w:r>
          </w:p>
        </w:tc>
      </w:tr>
    </w:tbl>
    <w:p w:rsidR="005113B3" w:rsidRDefault="005113B3">
      <w:pPr>
        <w:widowControl w:val="0"/>
        <w:spacing w:after="0"/>
        <w:rPr>
          <w:rFonts w:ascii="Arial Narrow" w:eastAsia="Arial Narrow" w:hAnsi="Arial Narrow" w:cs="Arial Narrow"/>
          <w:sz w:val="20"/>
          <w:szCs w:val="20"/>
        </w:rPr>
      </w:pPr>
    </w:p>
    <w:tbl>
      <w:tblPr>
        <w:tblStyle w:val="a6"/>
        <w:tblW w:w="9930" w:type="dxa"/>
        <w:jc w:val="center"/>
        <w:tblBorders>
          <w:top w:val="nil"/>
          <w:left w:val="nil"/>
          <w:bottom w:val="nil"/>
          <w:right w:val="nil"/>
          <w:insideH w:val="nil"/>
          <w:insideV w:val="nil"/>
        </w:tblBorders>
        <w:tblLayout w:type="fixed"/>
        <w:tblLook w:val="0400" w:firstRow="0" w:lastRow="0" w:firstColumn="0" w:lastColumn="0" w:noHBand="0" w:noVBand="1"/>
      </w:tblPr>
      <w:tblGrid>
        <w:gridCol w:w="2010"/>
        <w:gridCol w:w="2745"/>
        <w:gridCol w:w="2985"/>
        <w:gridCol w:w="2190"/>
      </w:tblGrid>
      <w:tr w:rsidR="005113B3">
        <w:trPr>
          <w:jc w:val="center"/>
        </w:trPr>
        <w:tc>
          <w:tcPr>
            <w:tcW w:w="2010" w:type="dxa"/>
            <w:tcBorders>
              <w:top w:val="single" w:sz="4" w:space="0" w:color="000000"/>
              <w:left w:val="single" w:sz="4" w:space="0" w:color="000000"/>
              <w:bottom w:val="single" w:sz="4" w:space="0" w:color="000000"/>
              <w:right w:val="single" w:sz="4" w:space="0" w:color="000000"/>
            </w:tcBorders>
            <w:vAlign w:val="center"/>
          </w:tcPr>
          <w:p w:rsidR="005113B3" w:rsidRDefault="005113B3">
            <w:pPr>
              <w:spacing w:before="240" w:after="240"/>
              <w:jc w:val="center"/>
              <w:rPr>
                <w:rFonts w:ascii="Arial Narrow" w:eastAsia="Arial Narrow" w:hAnsi="Arial Narrow" w:cs="Arial Narrow"/>
              </w:rPr>
            </w:pPr>
          </w:p>
          <w:p w:rsidR="005113B3" w:rsidRDefault="00AC1D27">
            <w:pPr>
              <w:spacing w:before="240" w:after="240"/>
              <w:jc w:val="center"/>
              <w:rPr>
                <w:rFonts w:ascii="Arial Narrow" w:eastAsia="Arial Narrow" w:hAnsi="Arial Narrow" w:cs="Arial Narrow"/>
              </w:rPr>
            </w:pPr>
            <w:r>
              <w:rPr>
                <w:rFonts w:ascii="Arial Narrow" w:eastAsia="Arial Narrow" w:hAnsi="Arial Narrow" w:cs="Arial Narrow"/>
              </w:rPr>
              <w:t>Martin Coutts</w:t>
            </w:r>
          </w:p>
          <w:p w:rsidR="005113B3" w:rsidRDefault="005113B3">
            <w:pPr>
              <w:spacing w:before="240" w:after="240"/>
              <w:jc w:val="center"/>
              <w:rPr>
                <w:rFonts w:ascii="Arial Narrow" w:eastAsia="Arial Narrow" w:hAnsi="Arial Narrow" w:cs="Arial Narrow"/>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5113B3" w:rsidRDefault="00AC1D27">
            <w:pPr>
              <w:spacing w:before="240" w:after="240"/>
              <w:jc w:val="center"/>
              <w:rPr>
                <w:rFonts w:ascii="Arial Narrow" w:eastAsia="Arial Narrow" w:hAnsi="Arial Narrow" w:cs="Arial Narrow"/>
              </w:rPr>
            </w:pPr>
            <w:r>
              <w:rPr>
                <w:rFonts w:ascii="Arial Narrow" w:eastAsia="Arial Narrow" w:hAnsi="Arial Narrow" w:cs="Arial Narrow"/>
              </w:rPr>
              <w:t>AVP (Finance &amp; Supply Management)</w:t>
            </w:r>
          </w:p>
        </w:tc>
        <w:tc>
          <w:tcPr>
            <w:tcW w:w="2985" w:type="dxa"/>
            <w:tcBorders>
              <w:top w:val="single" w:sz="4" w:space="0" w:color="000000"/>
              <w:left w:val="single" w:sz="4" w:space="0" w:color="000000"/>
              <w:bottom w:val="single" w:sz="4" w:space="0" w:color="000000"/>
              <w:right w:val="single" w:sz="4" w:space="0" w:color="000000"/>
            </w:tcBorders>
            <w:vAlign w:val="center"/>
          </w:tcPr>
          <w:p w:rsidR="005113B3" w:rsidRDefault="00AC1D27">
            <w:pPr>
              <w:spacing w:before="240" w:after="240"/>
              <w:jc w:val="center"/>
              <w:rPr>
                <w:rFonts w:ascii="Arial Narrow" w:eastAsia="Arial Narrow" w:hAnsi="Arial Narrow" w:cs="Arial Narrow"/>
              </w:rPr>
            </w:pPr>
            <w:r>
              <w:rPr>
                <w:rFonts w:ascii="Arial Narrow" w:eastAsia="Arial Narrow" w:hAnsi="Arial Narrow" w:cs="Arial Narrow"/>
              </w:rPr>
              <w:t>Original Signed</w:t>
            </w:r>
          </w:p>
        </w:tc>
        <w:tc>
          <w:tcPr>
            <w:tcW w:w="2190" w:type="dxa"/>
            <w:tcBorders>
              <w:top w:val="single" w:sz="4" w:space="0" w:color="000000"/>
              <w:left w:val="single" w:sz="4" w:space="0" w:color="000000"/>
              <w:bottom w:val="single" w:sz="4" w:space="0" w:color="000000"/>
              <w:right w:val="single" w:sz="4" w:space="0" w:color="000000"/>
            </w:tcBorders>
            <w:vAlign w:val="center"/>
          </w:tcPr>
          <w:p w:rsidR="005113B3" w:rsidRDefault="00AC1D27">
            <w:pPr>
              <w:spacing w:before="240" w:after="240"/>
              <w:jc w:val="center"/>
              <w:rPr>
                <w:rFonts w:ascii="Arial Narrow" w:eastAsia="Arial Narrow" w:hAnsi="Arial Narrow" w:cs="Arial Narrow"/>
              </w:rPr>
            </w:pPr>
            <w:r>
              <w:rPr>
                <w:rFonts w:ascii="Arial Narrow" w:eastAsia="Arial Narrow" w:hAnsi="Arial Narrow" w:cs="Arial Narrow"/>
              </w:rPr>
              <w:t>July 11, 2019</w:t>
            </w:r>
          </w:p>
        </w:tc>
      </w:tr>
      <w:tr w:rsidR="005113B3">
        <w:trPr>
          <w:trHeight w:val="140"/>
          <w:jc w:val="center"/>
        </w:trPr>
        <w:tc>
          <w:tcPr>
            <w:tcW w:w="2010" w:type="dxa"/>
            <w:tcBorders>
              <w:top w:val="single" w:sz="4" w:space="0" w:color="000000"/>
              <w:left w:val="single" w:sz="4" w:space="0" w:color="000000"/>
              <w:bottom w:val="single" w:sz="4" w:space="0" w:color="000000"/>
              <w:right w:val="single" w:sz="4" w:space="0" w:color="000000"/>
            </w:tcBorders>
          </w:tcPr>
          <w:p w:rsidR="005113B3" w:rsidRDefault="00AC1D27">
            <w:pPr>
              <w:jc w:val="center"/>
              <w:rPr>
                <w:rFonts w:ascii="Arial Narrow" w:eastAsia="Arial Narrow" w:hAnsi="Arial Narrow" w:cs="Arial Narrow"/>
                <w:b/>
              </w:rPr>
            </w:pPr>
            <w:r>
              <w:rPr>
                <w:rFonts w:ascii="Arial Narrow" w:eastAsia="Arial Narrow" w:hAnsi="Arial Narrow" w:cs="Arial Narrow"/>
                <w:b/>
              </w:rPr>
              <w:t>Name</w:t>
            </w:r>
          </w:p>
        </w:tc>
        <w:tc>
          <w:tcPr>
            <w:tcW w:w="2745" w:type="dxa"/>
            <w:tcBorders>
              <w:top w:val="single" w:sz="4" w:space="0" w:color="000000"/>
              <w:left w:val="single" w:sz="4" w:space="0" w:color="000000"/>
              <w:bottom w:val="single" w:sz="4" w:space="0" w:color="000000"/>
              <w:right w:val="single" w:sz="4" w:space="0" w:color="000000"/>
            </w:tcBorders>
          </w:tcPr>
          <w:p w:rsidR="005113B3" w:rsidRDefault="00AC1D27">
            <w:pPr>
              <w:jc w:val="center"/>
              <w:rPr>
                <w:rFonts w:ascii="Arial Narrow" w:eastAsia="Arial Narrow" w:hAnsi="Arial Narrow" w:cs="Arial Narrow"/>
                <w:b/>
              </w:rPr>
            </w:pPr>
            <w:r>
              <w:rPr>
                <w:rFonts w:ascii="Arial Narrow" w:eastAsia="Arial Narrow" w:hAnsi="Arial Narrow" w:cs="Arial Narrow"/>
                <w:b/>
              </w:rPr>
              <w:t>Title/Department</w:t>
            </w:r>
          </w:p>
        </w:tc>
        <w:tc>
          <w:tcPr>
            <w:tcW w:w="2985" w:type="dxa"/>
            <w:tcBorders>
              <w:top w:val="single" w:sz="4" w:space="0" w:color="000000"/>
              <w:left w:val="single" w:sz="4" w:space="0" w:color="000000"/>
              <w:bottom w:val="single" w:sz="4" w:space="0" w:color="000000"/>
              <w:right w:val="single" w:sz="4" w:space="0" w:color="000000"/>
            </w:tcBorders>
          </w:tcPr>
          <w:p w:rsidR="005113B3" w:rsidRDefault="00AC1D27">
            <w:pPr>
              <w:jc w:val="center"/>
              <w:rPr>
                <w:rFonts w:ascii="Arial Narrow" w:eastAsia="Arial Narrow" w:hAnsi="Arial Narrow" w:cs="Arial Narrow"/>
                <w:b/>
              </w:rPr>
            </w:pPr>
            <w:r>
              <w:rPr>
                <w:rFonts w:ascii="Arial Narrow" w:eastAsia="Arial Narrow" w:hAnsi="Arial Narrow" w:cs="Arial Narrow"/>
                <w:b/>
              </w:rPr>
              <w:t>Signature</w:t>
            </w:r>
          </w:p>
        </w:tc>
        <w:tc>
          <w:tcPr>
            <w:tcW w:w="2190" w:type="dxa"/>
            <w:tcBorders>
              <w:top w:val="single" w:sz="4" w:space="0" w:color="000000"/>
              <w:left w:val="single" w:sz="4" w:space="0" w:color="000000"/>
              <w:bottom w:val="single" w:sz="4" w:space="0" w:color="000000"/>
              <w:right w:val="single" w:sz="4" w:space="0" w:color="000000"/>
            </w:tcBorders>
          </w:tcPr>
          <w:p w:rsidR="005113B3" w:rsidRDefault="00AC1D27">
            <w:pPr>
              <w:jc w:val="center"/>
              <w:rPr>
                <w:rFonts w:ascii="Arial Narrow" w:eastAsia="Arial Narrow" w:hAnsi="Arial Narrow" w:cs="Arial Narrow"/>
                <w:b/>
              </w:rPr>
            </w:pPr>
            <w:r>
              <w:rPr>
                <w:rFonts w:ascii="Arial Narrow" w:eastAsia="Arial Narrow" w:hAnsi="Arial Narrow" w:cs="Arial Narrow"/>
                <w:b/>
              </w:rPr>
              <w:t>Date</w:t>
            </w:r>
          </w:p>
        </w:tc>
      </w:tr>
    </w:tbl>
    <w:p w:rsidR="005113B3" w:rsidRDefault="005113B3">
      <w:pPr>
        <w:widowControl w:val="0"/>
        <w:spacing w:after="0"/>
      </w:pPr>
    </w:p>
    <w:p w:rsidR="005113B3" w:rsidRDefault="00AC1D27">
      <w:pPr>
        <w:jc w:val="center"/>
        <w:rPr>
          <w:rFonts w:ascii="Arial Narrow" w:eastAsia="Arial Narrow" w:hAnsi="Arial Narrow" w:cs="Arial Narrow"/>
          <w:b/>
          <w:sz w:val="28"/>
          <w:szCs w:val="28"/>
        </w:rPr>
      </w:pPr>
      <w:r>
        <w:rPr>
          <w:rFonts w:ascii="Arial Narrow" w:eastAsia="Arial Narrow" w:hAnsi="Arial Narrow" w:cs="Arial Narrow"/>
          <w:b/>
          <w:sz w:val="28"/>
          <w:szCs w:val="28"/>
        </w:rPr>
        <w:t>Retention Schedule Overview</w:t>
      </w:r>
    </w:p>
    <w:tbl>
      <w:tblPr>
        <w:tblStyle w:val="a7"/>
        <w:tblW w:w="9675"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2700"/>
        <w:gridCol w:w="2265"/>
        <w:gridCol w:w="2535"/>
      </w:tblGrid>
      <w:tr w:rsidR="005113B3">
        <w:trPr>
          <w:trHeight w:val="340"/>
        </w:trPr>
        <w:tc>
          <w:tcPr>
            <w:tcW w:w="2175" w:type="dxa"/>
            <w:shd w:val="clear" w:color="auto" w:fill="D7E3BC"/>
            <w:vAlign w:val="center"/>
          </w:tcPr>
          <w:p w:rsidR="005113B3" w:rsidRDefault="00AC1D2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1"/>
                <w:szCs w:val="21"/>
              </w:rPr>
            </w:pPr>
            <w:r>
              <w:rPr>
                <w:rFonts w:ascii="Arial Narrow" w:eastAsia="Arial Narrow" w:hAnsi="Arial Narrow" w:cs="Arial Narrow"/>
                <w:b/>
                <w:sz w:val="21"/>
                <w:szCs w:val="21"/>
              </w:rPr>
              <w:lastRenderedPageBreak/>
              <w:t>Current year + 3</w:t>
            </w:r>
          </w:p>
        </w:tc>
        <w:tc>
          <w:tcPr>
            <w:tcW w:w="2700" w:type="dxa"/>
            <w:shd w:val="clear" w:color="auto" w:fill="D7E3BC"/>
            <w:vAlign w:val="center"/>
          </w:tcPr>
          <w:p w:rsidR="005113B3" w:rsidRDefault="00AC1D2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1"/>
                <w:szCs w:val="21"/>
              </w:rPr>
            </w:pPr>
            <w:r>
              <w:rPr>
                <w:rFonts w:ascii="Arial Narrow" w:eastAsia="Arial Narrow" w:hAnsi="Arial Narrow" w:cs="Arial Narrow"/>
                <w:b/>
                <w:sz w:val="21"/>
                <w:szCs w:val="21"/>
              </w:rPr>
              <w:t>Current year + 6</w:t>
            </w:r>
          </w:p>
        </w:tc>
        <w:tc>
          <w:tcPr>
            <w:tcW w:w="2265" w:type="dxa"/>
            <w:shd w:val="clear" w:color="auto" w:fill="D7E3BC"/>
            <w:vAlign w:val="center"/>
          </w:tcPr>
          <w:p w:rsidR="005113B3" w:rsidRDefault="00AC1D2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1"/>
                <w:szCs w:val="21"/>
              </w:rPr>
            </w:pPr>
            <w:r>
              <w:rPr>
                <w:rFonts w:ascii="Arial Narrow" w:eastAsia="Arial Narrow" w:hAnsi="Arial Narrow" w:cs="Arial Narrow"/>
                <w:b/>
                <w:sz w:val="21"/>
                <w:szCs w:val="21"/>
              </w:rPr>
              <w:t>Current year + 10</w:t>
            </w:r>
          </w:p>
        </w:tc>
        <w:tc>
          <w:tcPr>
            <w:tcW w:w="2535" w:type="dxa"/>
            <w:shd w:val="clear" w:color="auto" w:fill="D7E3BC"/>
            <w:vAlign w:val="center"/>
          </w:tcPr>
          <w:p w:rsidR="005113B3" w:rsidRDefault="00AC1D2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1"/>
                <w:szCs w:val="21"/>
              </w:rPr>
            </w:pPr>
            <w:r>
              <w:rPr>
                <w:rFonts w:ascii="Arial Narrow" w:eastAsia="Arial Narrow" w:hAnsi="Arial Narrow" w:cs="Arial Narrow"/>
                <w:b/>
                <w:sz w:val="21"/>
                <w:szCs w:val="21"/>
              </w:rPr>
              <w:t>Trigger Event + 10 years</w:t>
            </w:r>
          </w:p>
        </w:tc>
      </w:tr>
      <w:tr w:rsidR="005113B3">
        <w:tc>
          <w:tcPr>
            <w:tcW w:w="2175" w:type="dxa"/>
          </w:tcPr>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Ad hoc surveys/statistics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Departmental budgets</w:t>
            </w:r>
          </w:p>
        </w:tc>
        <w:tc>
          <w:tcPr>
            <w:tcW w:w="2700" w:type="dxa"/>
          </w:tcPr>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Consolidated budget</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Operating budget</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Payables/receivables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GL supporting details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Banking transactions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Credit card tracking</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External reports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Internal reports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Customs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Student payments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Batch processing</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Endowment transactions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Research fund transactions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Demand letters</w:t>
            </w:r>
          </w:p>
        </w:tc>
        <w:tc>
          <w:tcPr>
            <w:tcW w:w="2265" w:type="dxa"/>
          </w:tcPr>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Capital assets (equipment)</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GST filing</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Charitable returns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Charitable tax receipts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Emission/carbon offset credits, incentives</w:t>
            </w:r>
          </w:p>
        </w:tc>
        <w:tc>
          <w:tcPr>
            <w:tcW w:w="2535" w:type="dxa"/>
          </w:tcPr>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Policies &amp; procedures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Audited financial statements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General ledgers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Bank account mgmt</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Debt &amp; borrowing</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Investment fund mgmt</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Capital assets (buildings)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Capital assets (learning resources)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Customer records (sponsors)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Donor files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Fundraising pledges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Financial analysis (bequests)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Annuity transactions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Project budgets </w:t>
            </w:r>
          </w:p>
        </w:tc>
      </w:tr>
    </w:tbl>
    <w:p w:rsidR="005113B3" w:rsidRDefault="005113B3">
      <w:pPr>
        <w:widowControl w:val="0"/>
        <w:pBdr>
          <w:top w:val="nil"/>
          <w:left w:val="nil"/>
          <w:bottom w:val="nil"/>
          <w:right w:val="nil"/>
          <w:between w:val="nil"/>
        </w:pBdr>
        <w:spacing w:after="0"/>
        <w:rPr>
          <w:rFonts w:ascii="Arial Narrow" w:eastAsia="Arial Narrow" w:hAnsi="Arial Narrow" w:cs="Arial Narrow"/>
          <w:color w:val="000000"/>
          <w:sz w:val="20"/>
          <w:szCs w:val="20"/>
        </w:rPr>
      </w:pPr>
    </w:p>
    <w:tbl>
      <w:tblPr>
        <w:tblStyle w:val="a8"/>
        <w:tblW w:w="9930" w:type="dxa"/>
        <w:tblInd w:w="-176" w:type="dxa"/>
        <w:tblBorders>
          <w:top w:val="nil"/>
          <w:left w:val="nil"/>
          <w:bottom w:val="nil"/>
          <w:right w:val="nil"/>
          <w:insideH w:val="nil"/>
          <w:insideV w:val="nil"/>
        </w:tblBorders>
        <w:tblLayout w:type="fixed"/>
        <w:tblLook w:val="0400" w:firstRow="0" w:lastRow="0" w:firstColumn="0" w:lastColumn="0" w:noHBand="0" w:noVBand="1"/>
      </w:tblPr>
      <w:tblGrid>
        <w:gridCol w:w="9930"/>
      </w:tblGrid>
      <w:tr w:rsidR="005113B3">
        <w:tc>
          <w:tcPr>
            <w:tcW w:w="9930" w:type="dxa"/>
          </w:tcPr>
          <w:p w:rsidR="005113B3" w:rsidRDefault="00AC1D27">
            <w:pPr>
              <w:pBdr>
                <w:top w:val="nil"/>
                <w:left w:val="nil"/>
                <w:bottom w:val="nil"/>
                <w:right w:val="nil"/>
                <w:between w:val="nil"/>
              </w:pBdr>
              <w:spacing w:after="200" w:line="276" w:lineRule="auto"/>
              <w:rPr>
                <w:rFonts w:ascii="Arial Narrow" w:eastAsia="Arial Narrow" w:hAnsi="Arial Narrow" w:cs="Arial Narrow"/>
                <w:b/>
                <w:color w:val="000000"/>
              </w:rPr>
            </w:pPr>
            <w:r>
              <w:rPr>
                <w:rFonts w:ascii="Arial Narrow" w:eastAsia="Arial Narrow" w:hAnsi="Arial Narrow" w:cs="Arial Narrow"/>
                <w:color w:val="000000"/>
              </w:rPr>
              <w:t xml:space="preserve">The following records are  out of scope for the </w:t>
            </w:r>
            <w:r>
              <w:rPr>
                <w:rFonts w:ascii="Arial Narrow" w:eastAsia="Arial Narrow" w:hAnsi="Arial Narrow" w:cs="Arial Narrow"/>
                <w:i/>
                <w:color w:val="000000"/>
              </w:rPr>
              <w:t>Financial Management Records Retention</w:t>
            </w:r>
            <w:r>
              <w:rPr>
                <w:rFonts w:ascii="Arial Narrow" w:eastAsia="Arial Narrow" w:hAnsi="Arial Narrow" w:cs="Arial Narrow"/>
                <w:color w:val="000000"/>
              </w:rPr>
              <w:t xml:space="preserve"> Schedule and shall be retained in accordance with the applicable retention schedule as indicated below:</w:t>
            </w:r>
          </w:p>
          <w:tbl>
            <w:tblPr>
              <w:tblStyle w:val="a9"/>
              <w:tblW w:w="9690"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0"/>
              <w:gridCol w:w="4860"/>
            </w:tblGrid>
            <w:tr w:rsidR="005113B3">
              <w:trPr>
                <w:trHeight w:val="400"/>
              </w:trPr>
              <w:tc>
                <w:tcPr>
                  <w:tcW w:w="4830" w:type="dxa"/>
                  <w:shd w:val="clear" w:color="auto" w:fill="D7E3BC"/>
                  <w:vAlign w:val="center"/>
                </w:tcPr>
                <w:p w:rsidR="005113B3" w:rsidRDefault="00AC1D27">
                  <w:pPr>
                    <w:pBdr>
                      <w:top w:val="none" w:sz="0" w:space="0" w:color="000000"/>
                      <w:left w:val="none" w:sz="0" w:space="0" w:color="000000"/>
                      <w:bottom w:val="none" w:sz="0" w:space="0" w:color="000000"/>
                      <w:right w:val="none" w:sz="0" w:space="0" w:color="000000"/>
                      <w:between w:val="none" w:sz="0" w:space="0" w:color="000000"/>
                    </w:pBdr>
                    <w:spacing w:before="60" w:after="60"/>
                    <w:jc w:val="center"/>
                    <w:rPr>
                      <w:rFonts w:ascii="Arial Narrow" w:eastAsia="Arial Narrow" w:hAnsi="Arial Narrow" w:cs="Arial Narrow"/>
                      <w:b/>
                      <w:sz w:val="21"/>
                      <w:szCs w:val="21"/>
                    </w:rPr>
                  </w:pPr>
                  <w:r>
                    <w:rPr>
                      <w:rFonts w:ascii="Arial Narrow" w:eastAsia="Arial Narrow" w:hAnsi="Arial Narrow" w:cs="Arial Narrow"/>
                      <w:b/>
                      <w:sz w:val="21"/>
                      <w:szCs w:val="21"/>
                    </w:rPr>
                    <w:t>Out-of-scope Functions/Records</w:t>
                  </w:r>
                </w:p>
              </w:tc>
              <w:tc>
                <w:tcPr>
                  <w:tcW w:w="4860" w:type="dxa"/>
                  <w:shd w:val="clear" w:color="auto" w:fill="D7E3BC"/>
                  <w:vAlign w:val="center"/>
                </w:tcPr>
                <w:p w:rsidR="005113B3" w:rsidRDefault="00AC1D27">
                  <w:pPr>
                    <w:pBdr>
                      <w:top w:val="none" w:sz="0" w:space="0" w:color="000000"/>
                      <w:left w:val="none" w:sz="0" w:space="0" w:color="000000"/>
                      <w:bottom w:val="none" w:sz="0" w:space="0" w:color="000000"/>
                      <w:right w:val="none" w:sz="0" w:space="0" w:color="000000"/>
                      <w:between w:val="none" w:sz="0" w:space="0" w:color="000000"/>
                    </w:pBdr>
                    <w:spacing w:before="60" w:after="60"/>
                    <w:jc w:val="center"/>
                    <w:rPr>
                      <w:rFonts w:ascii="Arial Narrow" w:eastAsia="Arial Narrow" w:hAnsi="Arial Narrow" w:cs="Arial Narrow"/>
                      <w:b/>
                      <w:sz w:val="21"/>
                      <w:szCs w:val="21"/>
                    </w:rPr>
                  </w:pPr>
                  <w:r>
                    <w:rPr>
                      <w:rFonts w:ascii="Arial Narrow" w:eastAsia="Arial Narrow" w:hAnsi="Arial Narrow" w:cs="Arial Narrow"/>
                      <w:b/>
                      <w:sz w:val="21"/>
                      <w:szCs w:val="21"/>
                    </w:rPr>
                    <w:t>Applicable Retention Schedule</w:t>
                  </w:r>
                </w:p>
              </w:tc>
            </w:tr>
            <w:tr w:rsidR="005113B3">
              <w:tc>
                <w:tcPr>
                  <w:tcW w:w="4830" w:type="dxa"/>
                </w:tcPr>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Employee compensation and payroll</w:t>
                  </w:r>
                </w:p>
              </w:tc>
              <w:tc>
                <w:tcPr>
                  <w:tcW w:w="4860" w:type="dxa"/>
                  <w:vAlign w:val="center"/>
                </w:tcPr>
                <w:p w:rsidR="005113B3" w:rsidRDefault="00AC1D27">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Human Resources (HR)</w:t>
                  </w:r>
                </w:p>
              </w:tc>
            </w:tr>
            <w:tr w:rsidR="005113B3">
              <w:tc>
                <w:tcPr>
                  <w:tcW w:w="4830" w:type="dxa"/>
                </w:tcPr>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Governance committee proceedings</w:t>
                  </w:r>
                </w:p>
              </w:tc>
              <w:tc>
                <w:tcPr>
                  <w:tcW w:w="4860" w:type="dxa"/>
                  <w:vAlign w:val="center"/>
                </w:tcPr>
                <w:p w:rsidR="005113B3" w:rsidRDefault="00AC1D27">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Governance (GO)</w:t>
                  </w:r>
                </w:p>
              </w:tc>
            </w:tr>
            <w:tr w:rsidR="005113B3">
              <w:tc>
                <w:tcPr>
                  <w:tcW w:w="4830" w:type="dxa"/>
                </w:tcPr>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Legal agreements and case files</w:t>
                  </w:r>
                </w:p>
              </w:tc>
              <w:tc>
                <w:tcPr>
                  <w:tcW w:w="4860" w:type="dxa"/>
                  <w:vAlign w:val="center"/>
                </w:tcPr>
                <w:p w:rsidR="005113B3" w:rsidRDefault="00AC1D27">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Legal (LE)</w:t>
                  </w:r>
                </w:p>
              </w:tc>
            </w:tr>
            <w:tr w:rsidR="005113B3">
              <w:tc>
                <w:tcPr>
                  <w:tcW w:w="4830" w:type="dxa"/>
                </w:tcPr>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Wills, bequest arrangement records</w:t>
                  </w:r>
                </w:p>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ind w:left="357" w:hanging="357"/>
                    <w:rPr>
                      <w:rFonts w:ascii="Arial Narrow" w:eastAsia="Arial Narrow" w:hAnsi="Arial Narrow" w:cs="Arial Narrow"/>
                      <w:sz w:val="20"/>
                      <w:szCs w:val="20"/>
                    </w:rPr>
                  </w:pPr>
                  <w:r>
                    <w:rPr>
                      <w:rFonts w:ascii="Arial Narrow" w:eastAsia="Arial Narrow" w:hAnsi="Arial Narrow" w:cs="Arial Narrow"/>
                      <w:sz w:val="20"/>
                      <w:szCs w:val="20"/>
                    </w:rPr>
                    <w:t>Endowment/trust legal documents</w:t>
                  </w:r>
                </w:p>
              </w:tc>
              <w:tc>
                <w:tcPr>
                  <w:tcW w:w="4860" w:type="dxa"/>
                  <w:vAlign w:val="center"/>
                </w:tcPr>
                <w:p w:rsidR="005113B3" w:rsidRDefault="00AC1D27">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Advancement (AD)</w:t>
                  </w:r>
                </w:p>
              </w:tc>
            </w:tr>
            <w:tr w:rsidR="005113B3">
              <w:tc>
                <w:tcPr>
                  <w:tcW w:w="4830" w:type="dxa"/>
                </w:tcPr>
                <w:p w:rsidR="005113B3" w:rsidRDefault="00AC1D27">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ind w:left="357" w:hanging="357"/>
                    <w:rPr>
                      <w:rFonts w:ascii="Arial Narrow" w:eastAsia="Arial Narrow" w:hAnsi="Arial Narrow" w:cs="Arial Narrow"/>
                      <w:color w:val="000000"/>
                      <w:sz w:val="20"/>
                      <w:szCs w:val="20"/>
                    </w:rPr>
                  </w:pPr>
                  <w:r>
                    <w:rPr>
                      <w:rFonts w:ascii="Arial Narrow" w:eastAsia="Arial Narrow" w:hAnsi="Arial Narrow" w:cs="Arial Narrow"/>
                      <w:sz w:val="20"/>
                      <w:szCs w:val="20"/>
                    </w:rPr>
                    <w:t>Procurement and procurement-related files</w:t>
                  </w:r>
                </w:p>
              </w:tc>
              <w:tc>
                <w:tcPr>
                  <w:tcW w:w="4860" w:type="dxa"/>
                  <w:vAlign w:val="center"/>
                </w:tcPr>
                <w:p w:rsidR="005113B3" w:rsidRDefault="00AC1D27">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Procurement (PR)</w:t>
                  </w:r>
                </w:p>
              </w:tc>
            </w:tr>
          </w:tbl>
          <w:p w:rsidR="005113B3" w:rsidRDefault="005113B3">
            <w:pPr>
              <w:pBdr>
                <w:top w:val="nil"/>
                <w:left w:val="nil"/>
                <w:bottom w:val="nil"/>
                <w:right w:val="nil"/>
                <w:between w:val="nil"/>
              </w:pBdr>
              <w:spacing w:after="200" w:line="276" w:lineRule="auto"/>
              <w:rPr>
                <w:rFonts w:ascii="Arial Narrow" w:eastAsia="Arial Narrow" w:hAnsi="Arial Narrow" w:cs="Arial Narrow"/>
                <w:sz w:val="20"/>
                <w:szCs w:val="20"/>
              </w:rPr>
            </w:pPr>
          </w:p>
          <w:p w:rsidR="005113B3" w:rsidRDefault="005113B3">
            <w:pPr>
              <w:pBdr>
                <w:top w:val="nil"/>
                <w:left w:val="nil"/>
                <w:bottom w:val="nil"/>
                <w:right w:val="nil"/>
                <w:between w:val="nil"/>
              </w:pBdr>
              <w:spacing w:after="200" w:line="276" w:lineRule="auto"/>
              <w:rPr>
                <w:rFonts w:ascii="Arial Narrow" w:eastAsia="Arial Narrow" w:hAnsi="Arial Narrow" w:cs="Arial Narrow"/>
                <w:sz w:val="20"/>
                <w:szCs w:val="20"/>
              </w:rPr>
            </w:pPr>
          </w:p>
        </w:tc>
      </w:tr>
    </w:tbl>
    <w:p w:rsidR="005113B3" w:rsidRDefault="005113B3">
      <w:pPr>
        <w:widowControl w:val="0"/>
        <w:pBdr>
          <w:top w:val="nil"/>
          <w:left w:val="nil"/>
          <w:bottom w:val="nil"/>
          <w:right w:val="nil"/>
          <w:between w:val="nil"/>
        </w:pBdr>
        <w:spacing w:after="0"/>
        <w:rPr>
          <w:rFonts w:ascii="Arial Narrow" w:eastAsia="Arial Narrow" w:hAnsi="Arial Narrow" w:cs="Arial Narrow"/>
          <w:b/>
        </w:rPr>
      </w:pPr>
    </w:p>
    <w:tbl>
      <w:tblPr>
        <w:tblStyle w:val="aa"/>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363"/>
      </w:tblGrid>
      <w:tr w:rsidR="005113B3">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bookmarkStart w:id="1" w:name="_heading=h.gjdgxs" w:colFirst="0" w:colLast="0"/>
            <w:bookmarkEnd w:id="1"/>
            <w:r>
              <w:rPr>
                <w:rFonts w:ascii="Arial Narrow" w:eastAsia="Arial Narrow" w:hAnsi="Arial Narrow" w:cs="Arial Narrow"/>
                <w:b/>
                <w:i/>
                <w:color w:val="000000"/>
                <w:sz w:val="20"/>
                <w:szCs w:val="20"/>
              </w:rPr>
              <w:t>Retention Code:</w:t>
            </w:r>
          </w:p>
        </w:tc>
        <w:tc>
          <w:tcPr>
            <w:tcW w:w="8363"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color w:val="000000"/>
              </w:rPr>
            </w:pPr>
            <w:r>
              <w:rPr>
                <w:rFonts w:ascii="Arial Narrow" w:eastAsia="Arial Narrow" w:hAnsi="Arial Narrow" w:cs="Arial Narrow"/>
                <w:b/>
                <w:color w:val="000000"/>
              </w:rPr>
              <w:t>FI-3</w:t>
            </w:r>
          </w:p>
        </w:tc>
      </w:tr>
      <w:tr w:rsidR="005113B3">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lastRenderedPageBreak/>
              <w:t>Category:</w:t>
            </w:r>
          </w:p>
        </w:tc>
        <w:tc>
          <w:tcPr>
            <w:tcW w:w="8363"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color w:val="000000"/>
              </w:rPr>
            </w:pPr>
            <w:r>
              <w:rPr>
                <w:rFonts w:ascii="Arial Narrow" w:eastAsia="Arial Narrow" w:hAnsi="Arial Narrow" w:cs="Arial Narrow"/>
                <w:b/>
                <w:color w:val="000000"/>
              </w:rPr>
              <w:t>FI – Finance</w:t>
            </w:r>
          </w:p>
        </w:tc>
      </w:tr>
      <w:tr w:rsidR="005113B3">
        <w:trPr>
          <w:trHeight w:val="64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Timeline:</w:t>
            </w:r>
          </w:p>
        </w:tc>
        <w:tc>
          <w:tcPr>
            <w:tcW w:w="8363" w:type="dxa"/>
          </w:tcPr>
          <w:p w:rsidR="005113B3" w:rsidRDefault="00AC1D27">
            <w:pPr>
              <w:pBdr>
                <w:top w:val="nil"/>
                <w:left w:val="nil"/>
                <w:bottom w:val="nil"/>
                <w:right w:val="nil"/>
                <w:between w:val="nil"/>
              </w:pBdr>
              <w:tabs>
                <w:tab w:val="left" w:pos="1624"/>
              </w:tabs>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Current year + 3 years</w:t>
            </w:r>
          </w:p>
        </w:tc>
      </w:tr>
      <w:tr w:rsidR="005113B3">
        <w:trPr>
          <w:trHeight w:val="128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Business Activity:</w:t>
            </w:r>
          </w:p>
        </w:tc>
        <w:tc>
          <w:tcPr>
            <w:tcW w:w="8363"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Apply this timeline to records which provide short-term support in managing the University’s financial resources, obligations and transactions.</w:t>
            </w:r>
          </w:p>
          <w:p w:rsidR="005113B3" w:rsidRDefault="00AC1D27">
            <w:pPr>
              <w:pBdr>
                <w:top w:val="nil"/>
                <w:left w:val="nil"/>
                <w:bottom w:val="nil"/>
                <w:right w:val="nil"/>
                <w:between w:val="nil"/>
              </w:pBdr>
              <w:spacing w:before="60" w:after="60" w:line="276" w:lineRule="auto"/>
              <w:rPr>
                <w:rFonts w:ascii="Arial Narrow" w:eastAsia="Arial Narrow" w:hAnsi="Arial Narrow" w:cs="Arial Narrow"/>
                <w:i/>
                <w:color w:val="000000"/>
              </w:rPr>
            </w:pPr>
            <w:r>
              <w:rPr>
                <w:rFonts w:ascii="Arial Narrow" w:eastAsia="Arial Narrow" w:hAnsi="Arial Narrow" w:cs="Arial Narrow"/>
                <w:color w:val="000000"/>
              </w:rPr>
              <w:t>Records may also be subject to privacy legislation, industry standards, physical/technical preservation limitati</w:t>
            </w:r>
            <w:r>
              <w:rPr>
                <w:rFonts w:ascii="Arial Narrow" w:eastAsia="Arial Narrow" w:hAnsi="Arial Narrow" w:cs="Arial Narrow"/>
                <w:color w:val="000000"/>
              </w:rPr>
              <w:t>ons or other considerations which mandate shorter retention.</w:t>
            </w:r>
          </w:p>
        </w:tc>
      </w:tr>
      <w:tr w:rsidR="005113B3">
        <w:trPr>
          <w:trHeight w:val="460"/>
        </w:trPr>
        <w:tc>
          <w:tcPr>
            <w:tcW w:w="1560" w:type="dxa"/>
            <w:vMerge w:val="restart"/>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Scope:</w:t>
            </w:r>
          </w:p>
        </w:tc>
        <w:tc>
          <w:tcPr>
            <w:tcW w:w="8363"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u w:val="single"/>
              </w:rPr>
            </w:pPr>
            <w:r>
              <w:rPr>
                <w:rFonts w:ascii="Arial Narrow" w:eastAsia="Arial Narrow" w:hAnsi="Arial Narrow" w:cs="Arial Narrow"/>
                <w:color w:val="000000"/>
              </w:rPr>
              <w:t>Examples of in-scope records and information include but are not limited to:</w:t>
            </w:r>
          </w:p>
        </w:tc>
      </w:tr>
      <w:tr w:rsidR="005113B3">
        <w:trPr>
          <w:trHeight w:val="78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u w:val="single"/>
              </w:rPr>
            </w:pPr>
          </w:p>
        </w:tc>
        <w:tc>
          <w:tcPr>
            <w:tcW w:w="8363" w:type="dxa"/>
          </w:tcPr>
          <w:p w:rsidR="005113B3" w:rsidRDefault="00AC1D27">
            <w:pPr>
              <w:numPr>
                <w:ilvl w:val="0"/>
                <w:numId w:val="5"/>
              </w:numPr>
              <w:pBdr>
                <w:top w:val="nil"/>
                <w:left w:val="nil"/>
                <w:bottom w:val="nil"/>
                <w:right w:val="nil"/>
                <w:between w:val="nil"/>
              </w:pBdr>
              <w:spacing w:before="60" w:after="60" w:line="276" w:lineRule="auto"/>
              <w:ind w:left="357" w:hanging="357"/>
              <w:rPr>
                <w:rFonts w:ascii="Arial Narrow" w:eastAsia="Arial Narrow" w:hAnsi="Arial Narrow" w:cs="Arial Narrow"/>
                <w:b/>
                <w:color w:val="000000"/>
              </w:rPr>
            </w:pPr>
            <w:r>
              <w:rPr>
                <w:rFonts w:ascii="Arial Narrow" w:eastAsia="Arial Narrow" w:hAnsi="Arial Narrow" w:cs="Arial Narrow"/>
                <w:b/>
                <w:color w:val="000000"/>
              </w:rPr>
              <w:t>Ad hoc statistical surveys and responses</w:t>
            </w:r>
            <w:r>
              <w:rPr>
                <w:rFonts w:ascii="Arial Narrow" w:eastAsia="Arial Narrow" w:hAnsi="Arial Narrow" w:cs="Arial Narrow"/>
                <w:color w:val="000000"/>
              </w:rPr>
              <w:t>, such as including responses to statistical inquiries from government agencies. (D)</w:t>
            </w:r>
          </w:p>
        </w:tc>
      </w:tr>
      <w:tr w:rsidR="005113B3">
        <w:trPr>
          <w:trHeight w:val="62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b/>
                <w:color w:val="000000"/>
              </w:rPr>
            </w:pPr>
          </w:p>
        </w:tc>
        <w:tc>
          <w:tcPr>
            <w:tcW w:w="8363" w:type="dxa"/>
          </w:tcPr>
          <w:p w:rsidR="005113B3" w:rsidRDefault="00AC1D27">
            <w:pPr>
              <w:numPr>
                <w:ilvl w:val="0"/>
                <w:numId w:val="5"/>
              </w:numPr>
              <w:pBdr>
                <w:top w:val="nil"/>
                <w:left w:val="nil"/>
                <w:bottom w:val="nil"/>
                <w:right w:val="nil"/>
                <w:between w:val="nil"/>
              </w:pBdr>
              <w:spacing w:before="60" w:after="60" w:line="276" w:lineRule="auto"/>
            </w:pPr>
            <w:r>
              <w:rPr>
                <w:rFonts w:ascii="Arial Narrow" w:eastAsia="Arial Narrow" w:hAnsi="Arial Narrow" w:cs="Arial Narrow"/>
                <w:b/>
                <w:color w:val="000000"/>
              </w:rPr>
              <w:t xml:space="preserve">Departmental budgets </w:t>
            </w:r>
            <w:r>
              <w:rPr>
                <w:rFonts w:ascii="Arial Narrow" w:eastAsia="Arial Narrow" w:hAnsi="Arial Narrow" w:cs="Arial Narrow"/>
                <w:color w:val="000000"/>
              </w:rPr>
              <w:t>and supporting documentation. (D)</w:t>
            </w:r>
          </w:p>
        </w:tc>
      </w:tr>
      <w:tr w:rsidR="005113B3">
        <w:trPr>
          <w:trHeight w:val="160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i/>
                <w:color w:val="000000"/>
              </w:rPr>
            </w:pPr>
            <w:r>
              <w:rPr>
                <w:rFonts w:ascii="Arial Narrow" w:eastAsia="Arial Narrow" w:hAnsi="Arial Narrow" w:cs="Arial Narrow"/>
                <w:b/>
                <w:i/>
                <w:color w:val="000000"/>
                <w:sz w:val="20"/>
                <w:szCs w:val="20"/>
              </w:rPr>
              <w:t>Excludes:</w:t>
            </w:r>
          </w:p>
        </w:tc>
        <w:tc>
          <w:tcPr>
            <w:tcW w:w="8363" w:type="dxa"/>
          </w:tcPr>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Payments and other financial transactions (use FI-6).</w:t>
            </w:r>
          </w:p>
          <w:p w:rsidR="005113B3" w:rsidRDefault="00AC1D27">
            <w:pPr>
              <w:numPr>
                <w:ilvl w:val="0"/>
                <w:numId w:val="2"/>
              </w:numPr>
              <w:pBdr>
                <w:top w:val="nil"/>
                <w:left w:val="nil"/>
                <w:bottom w:val="nil"/>
                <w:right w:val="nil"/>
                <w:between w:val="nil"/>
              </w:pBdr>
              <w:spacing w:before="60" w:after="60" w:line="276" w:lineRule="auto"/>
            </w:pPr>
            <w:r>
              <w:rPr>
                <w:rFonts w:ascii="Arial Narrow" w:eastAsia="Arial Narrow" w:hAnsi="Arial Narrow" w:cs="Arial Narrow"/>
                <w:color w:val="000000"/>
              </w:rPr>
              <w:t>Annual and other scheduled reporting to government agencies (use FI-6).</w:t>
            </w:r>
          </w:p>
          <w:p w:rsidR="005113B3" w:rsidRDefault="00AC1D27">
            <w:pPr>
              <w:numPr>
                <w:ilvl w:val="0"/>
                <w:numId w:val="2"/>
              </w:numPr>
              <w:pBdr>
                <w:top w:val="nil"/>
                <w:left w:val="nil"/>
                <w:bottom w:val="nil"/>
                <w:right w:val="nil"/>
                <w:between w:val="nil"/>
              </w:pBdr>
              <w:spacing w:before="60" w:after="60" w:line="276" w:lineRule="auto"/>
            </w:pPr>
            <w:r>
              <w:rPr>
                <w:rFonts w:ascii="Arial Narrow" w:eastAsia="Arial Narrow" w:hAnsi="Arial Narrow" w:cs="Arial Narrow"/>
                <w:color w:val="000000"/>
              </w:rPr>
              <w:t>Consolidated budget and operating budget (use FI-6).</w:t>
            </w:r>
          </w:p>
          <w:p w:rsidR="005113B3" w:rsidRDefault="00AC1D27">
            <w:pPr>
              <w:numPr>
                <w:ilvl w:val="0"/>
                <w:numId w:val="2"/>
              </w:numPr>
              <w:pBdr>
                <w:top w:val="nil"/>
                <w:left w:val="nil"/>
                <w:bottom w:val="nil"/>
                <w:right w:val="nil"/>
                <w:between w:val="nil"/>
              </w:pBdr>
              <w:spacing w:before="60" w:after="60" w:line="276" w:lineRule="auto"/>
            </w:pPr>
            <w:r>
              <w:rPr>
                <w:rFonts w:ascii="Arial Narrow" w:eastAsia="Arial Narrow" w:hAnsi="Arial Narrow" w:cs="Arial Narrow"/>
                <w:color w:val="000000"/>
              </w:rPr>
              <w:t>Audited financial statements (use FI-E10).</w:t>
            </w:r>
          </w:p>
        </w:tc>
      </w:tr>
      <w:tr w:rsidR="005113B3">
        <w:trPr>
          <w:trHeight w:val="58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Final Disposition</w:t>
            </w:r>
          </w:p>
        </w:tc>
        <w:tc>
          <w:tcPr>
            <w:tcW w:w="8363"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Itemized above:</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D = Destroy or delete</w:t>
            </w:r>
          </w:p>
          <w:p w:rsidR="005113B3" w:rsidRDefault="00AC1D27">
            <w:pPr>
              <w:pBdr>
                <w:top w:val="nil"/>
                <w:left w:val="nil"/>
                <w:bottom w:val="nil"/>
                <w:right w:val="nil"/>
                <w:between w:val="nil"/>
              </w:pBdr>
              <w:spacing w:before="60" w:after="60" w:line="276" w:lineRule="auto"/>
              <w:ind w:left="360"/>
              <w:rPr>
                <w:color w:val="000000"/>
              </w:rPr>
            </w:pPr>
            <w:r>
              <w:rPr>
                <w:rFonts w:ascii="Arial Narrow" w:eastAsia="Arial Narrow" w:hAnsi="Arial Narrow" w:cs="Arial Narrow"/>
                <w:color w:val="000000"/>
              </w:rPr>
              <w:t>A = Transfer to University Archives, subject to archival review</w:t>
            </w:r>
          </w:p>
        </w:tc>
      </w:tr>
    </w:tbl>
    <w:p w:rsidR="005113B3" w:rsidRDefault="005113B3">
      <w:pPr>
        <w:pBdr>
          <w:top w:val="nil"/>
          <w:left w:val="nil"/>
          <w:bottom w:val="nil"/>
          <w:right w:val="nil"/>
          <w:between w:val="nil"/>
        </w:pBdr>
        <w:spacing w:before="60" w:after="60"/>
        <w:rPr>
          <w:rFonts w:ascii="Arial Narrow" w:eastAsia="Arial Narrow" w:hAnsi="Arial Narrow" w:cs="Arial Narrow"/>
          <w:color w:val="000000"/>
        </w:rPr>
      </w:pPr>
    </w:p>
    <w:p w:rsidR="005113B3" w:rsidRDefault="005113B3">
      <w:pPr>
        <w:pBdr>
          <w:top w:val="nil"/>
          <w:left w:val="nil"/>
          <w:bottom w:val="nil"/>
          <w:right w:val="nil"/>
          <w:between w:val="nil"/>
        </w:pBdr>
        <w:rPr>
          <w:color w:val="000000"/>
        </w:rPr>
      </w:pPr>
    </w:p>
    <w:p w:rsidR="005113B3" w:rsidRDefault="00AC1D27">
      <w:r>
        <w:br w:type="page"/>
      </w:r>
    </w:p>
    <w:tbl>
      <w:tblPr>
        <w:tblStyle w:val="ab"/>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363"/>
      </w:tblGrid>
      <w:tr w:rsidR="005113B3">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lastRenderedPageBreak/>
              <w:t>Retention Code:</w:t>
            </w:r>
          </w:p>
        </w:tc>
        <w:tc>
          <w:tcPr>
            <w:tcW w:w="8363"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color w:val="000000"/>
              </w:rPr>
            </w:pPr>
            <w:r>
              <w:rPr>
                <w:rFonts w:ascii="Arial Narrow" w:eastAsia="Arial Narrow" w:hAnsi="Arial Narrow" w:cs="Arial Narrow"/>
                <w:b/>
                <w:color w:val="000000"/>
              </w:rPr>
              <w:t>FI-6</w:t>
            </w:r>
          </w:p>
        </w:tc>
      </w:tr>
      <w:tr w:rsidR="005113B3">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Category:</w:t>
            </w:r>
          </w:p>
        </w:tc>
        <w:tc>
          <w:tcPr>
            <w:tcW w:w="8363"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color w:val="000000"/>
              </w:rPr>
            </w:pPr>
            <w:r>
              <w:rPr>
                <w:rFonts w:ascii="Arial Narrow" w:eastAsia="Arial Narrow" w:hAnsi="Arial Narrow" w:cs="Arial Narrow"/>
                <w:b/>
                <w:color w:val="000000"/>
              </w:rPr>
              <w:t>FI – Finance</w:t>
            </w:r>
          </w:p>
        </w:tc>
      </w:tr>
      <w:tr w:rsidR="005113B3">
        <w:trPr>
          <w:trHeight w:val="64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Timeline:</w:t>
            </w:r>
          </w:p>
        </w:tc>
        <w:tc>
          <w:tcPr>
            <w:tcW w:w="8363" w:type="dxa"/>
          </w:tcPr>
          <w:p w:rsidR="005113B3" w:rsidRDefault="00AC1D27">
            <w:pPr>
              <w:pBdr>
                <w:top w:val="nil"/>
                <w:left w:val="nil"/>
                <w:bottom w:val="nil"/>
                <w:right w:val="nil"/>
                <w:between w:val="nil"/>
              </w:pBdr>
              <w:tabs>
                <w:tab w:val="left" w:pos="1624"/>
              </w:tabs>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Current year + 6 years</w:t>
            </w:r>
          </w:p>
        </w:tc>
      </w:tr>
      <w:tr w:rsidR="005113B3">
        <w:trPr>
          <w:trHeight w:val="102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Business Activity:</w:t>
            </w:r>
          </w:p>
        </w:tc>
        <w:tc>
          <w:tcPr>
            <w:tcW w:w="8363"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 xml:space="preserve">Apply this timeline to records and information which support ongoing financial transactions, processes and controls which are performed by the University on a routine basis.  </w:t>
            </w:r>
          </w:p>
        </w:tc>
      </w:tr>
      <w:tr w:rsidR="005113B3">
        <w:trPr>
          <w:trHeight w:val="460"/>
        </w:trPr>
        <w:tc>
          <w:tcPr>
            <w:tcW w:w="1560" w:type="dxa"/>
            <w:vMerge w:val="restart"/>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Scope:</w:t>
            </w:r>
          </w:p>
        </w:tc>
        <w:tc>
          <w:tcPr>
            <w:tcW w:w="8363"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u w:val="single"/>
              </w:rPr>
            </w:pPr>
            <w:r>
              <w:rPr>
                <w:rFonts w:ascii="Arial Narrow" w:eastAsia="Arial Narrow" w:hAnsi="Arial Narrow" w:cs="Arial Narrow"/>
                <w:color w:val="000000"/>
              </w:rPr>
              <w:t>Examples of in-scope records and information include but are not limited to:</w:t>
            </w:r>
          </w:p>
        </w:tc>
      </w:tr>
      <w:tr w:rsidR="005113B3">
        <w:trPr>
          <w:trHeight w:val="46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u w:val="single"/>
              </w:rPr>
            </w:pPr>
          </w:p>
        </w:tc>
        <w:tc>
          <w:tcPr>
            <w:tcW w:w="8363" w:type="dxa"/>
          </w:tcPr>
          <w:p w:rsidR="005113B3" w:rsidRDefault="00AC1D27">
            <w:pPr>
              <w:numPr>
                <w:ilvl w:val="0"/>
                <w:numId w:val="5"/>
              </w:numPr>
              <w:pBdr>
                <w:top w:val="nil"/>
                <w:left w:val="nil"/>
                <w:bottom w:val="nil"/>
                <w:right w:val="nil"/>
                <w:between w:val="nil"/>
              </w:pBdr>
              <w:spacing w:before="60" w:after="60" w:line="276" w:lineRule="auto"/>
            </w:pPr>
            <w:r>
              <w:rPr>
                <w:rFonts w:ascii="Arial Narrow" w:eastAsia="Arial Narrow" w:hAnsi="Arial Narrow" w:cs="Arial Narrow"/>
                <w:b/>
                <w:color w:val="000000"/>
              </w:rPr>
              <w:t xml:space="preserve">Consolidated budget </w:t>
            </w:r>
            <w:r>
              <w:rPr>
                <w:rFonts w:ascii="Arial Narrow" w:eastAsia="Arial Narrow" w:hAnsi="Arial Narrow" w:cs="Arial Narrow"/>
                <w:color w:val="000000"/>
              </w:rPr>
              <w:t>records, such as the Final Consolidated Budget, faculty/unit submissions (e.g. spreadsheets, memos, notes to file, supporting emails), Internal Budget Document, supporting slide deck and Quarterly Variance Analysis. (A)</w:t>
            </w:r>
          </w:p>
        </w:tc>
      </w:tr>
      <w:tr w:rsidR="005113B3">
        <w:trPr>
          <w:trHeight w:val="460"/>
        </w:trPr>
        <w:tc>
          <w:tcPr>
            <w:tcW w:w="1560" w:type="dxa"/>
            <w:vMerge/>
          </w:tcPr>
          <w:p w:rsidR="005113B3" w:rsidRDefault="005113B3">
            <w:pPr>
              <w:widowControl w:val="0"/>
              <w:pBdr>
                <w:top w:val="nil"/>
                <w:left w:val="nil"/>
                <w:bottom w:val="nil"/>
                <w:right w:val="nil"/>
                <w:between w:val="nil"/>
              </w:pBdr>
              <w:spacing w:line="276" w:lineRule="auto"/>
              <w:rPr>
                <w:color w:val="000000"/>
              </w:rPr>
            </w:pPr>
          </w:p>
        </w:tc>
        <w:tc>
          <w:tcPr>
            <w:tcW w:w="8363" w:type="dxa"/>
          </w:tcPr>
          <w:p w:rsidR="005113B3" w:rsidRDefault="00AC1D27">
            <w:pPr>
              <w:numPr>
                <w:ilvl w:val="0"/>
                <w:numId w:val="5"/>
              </w:numPr>
              <w:pBdr>
                <w:top w:val="nil"/>
                <w:left w:val="nil"/>
                <w:bottom w:val="nil"/>
                <w:right w:val="nil"/>
                <w:between w:val="nil"/>
              </w:pBdr>
              <w:spacing w:before="60" w:after="60" w:line="276" w:lineRule="auto"/>
              <w:rPr>
                <w:b/>
                <w:color w:val="000000"/>
              </w:rPr>
            </w:pPr>
            <w:r>
              <w:rPr>
                <w:rFonts w:ascii="Arial Narrow" w:eastAsia="Arial Narrow" w:hAnsi="Arial Narrow" w:cs="Arial Narrow"/>
                <w:b/>
                <w:color w:val="000000"/>
              </w:rPr>
              <w:t xml:space="preserve">Operating budgets </w:t>
            </w:r>
            <w:r>
              <w:rPr>
                <w:rFonts w:ascii="Arial Narrow" w:eastAsia="Arial Narrow" w:hAnsi="Arial Narrow" w:cs="Arial Narrow"/>
                <w:color w:val="000000"/>
              </w:rPr>
              <w:t xml:space="preserve">and supporting records, such as budgeting system data (e.g. Uplan), copies of grant letters from government agencies, letters to Vice President portfolios and faculties, spending allocation information, faculty/unit spending reports and variance reporting </w:t>
            </w:r>
            <w:r>
              <w:rPr>
                <w:rFonts w:ascii="Arial Narrow" w:eastAsia="Arial Narrow" w:hAnsi="Arial Narrow" w:cs="Arial Narrow"/>
                <w:color w:val="000000"/>
              </w:rPr>
              <w:t>records. (D)</w:t>
            </w:r>
          </w:p>
        </w:tc>
      </w:tr>
      <w:tr w:rsidR="005113B3">
        <w:trPr>
          <w:trHeight w:val="460"/>
        </w:trPr>
        <w:tc>
          <w:tcPr>
            <w:tcW w:w="1560" w:type="dxa"/>
            <w:vMerge/>
          </w:tcPr>
          <w:p w:rsidR="005113B3" w:rsidRDefault="005113B3">
            <w:pPr>
              <w:widowControl w:val="0"/>
              <w:pBdr>
                <w:top w:val="nil"/>
                <w:left w:val="nil"/>
                <w:bottom w:val="nil"/>
                <w:right w:val="nil"/>
                <w:between w:val="nil"/>
              </w:pBdr>
              <w:spacing w:line="276" w:lineRule="auto"/>
              <w:rPr>
                <w:b/>
                <w:color w:val="000000"/>
              </w:rPr>
            </w:pPr>
          </w:p>
        </w:tc>
        <w:tc>
          <w:tcPr>
            <w:tcW w:w="8363" w:type="dxa"/>
          </w:tcPr>
          <w:p w:rsidR="005113B3" w:rsidRDefault="00AC1D27">
            <w:pPr>
              <w:numPr>
                <w:ilvl w:val="0"/>
                <w:numId w:val="5"/>
              </w:numPr>
              <w:pBdr>
                <w:top w:val="nil"/>
                <w:left w:val="nil"/>
                <w:bottom w:val="nil"/>
                <w:right w:val="nil"/>
                <w:between w:val="nil"/>
              </w:pBdr>
              <w:spacing w:before="60" w:after="60" w:line="276" w:lineRule="auto"/>
              <w:rPr>
                <w:b/>
                <w:color w:val="000000"/>
              </w:rPr>
            </w:pPr>
            <w:r>
              <w:rPr>
                <w:rFonts w:ascii="Arial Narrow" w:eastAsia="Arial Narrow" w:hAnsi="Arial Narrow" w:cs="Arial Narrow"/>
                <w:b/>
                <w:color w:val="000000"/>
              </w:rPr>
              <w:t>Accounts payable/receivable</w:t>
            </w:r>
            <w:r>
              <w:rPr>
                <w:rFonts w:ascii="Arial Narrow" w:eastAsia="Arial Narrow" w:hAnsi="Arial Narrow" w:cs="Arial Narrow"/>
                <w:color w:val="000000"/>
              </w:rPr>
              <w:t xml:space="preserve"> records, such as accounts payable forms, payment records (student awards, vendor payments), invoices, cheques, receipts, vendor records (description and banking information), travel and expense claims records, ban</w:t>
            </w:r>
            <w:r>
              <w:rPr>
                <w:rFonts w:ascii="Arial Narrow" w:eastAsia="Arial Narrow" w:hAnsi="Arial Narrow" w:cs="Arial Narrow"/>
                <w:color w:val="000000"/>
              </w:rPr>
              <w:t>k reconciliations (electronic and hard copy), cash/ cheque/EFT/Wire deposits, GST vouchers, low dollar purchases, petty cash documentation, monthly statements, past due documentation and write-offs documentation. (D)</w:t>
            </w:r>
          </w:p>
        </w:tc>
      </w:tr>
      <w:tr w:rsidR="005113B3">
        <w:trPr>
          <w:trHeight w:val="460"/>
        </w:trPr>
        <w:tc>
          <w:tcPr>
            <w:tcW w:w="1560" w:type="dxa"/>
            <w:vMerge/>
          </w:tcPr>
          <w:p w:rsidR="005113B3" w:rsidRDefault="005113B3">
            <w:pPr>
              <w:widowControl w:val="0"/>
              <w:pBdr>
                <w:top w:val="nil"/>
                <w:left w:val="nil"/>
                <w:bottom w:val="nil"/>
                <w:right w:val="nil"/>
                <w:between w:val="nil"/>
              </w:pBdr>
              <w:spacing w:line="276" w:lineRule="auto"/>
              <w:rPr>
                <w:b/>
                <w:color w:val="000000"/>
              </w:rPr>
            </w:pPr>
          </w:p>
        </w:tc>
        <w:tc>
          <w:tcPr>
            <w:tcW w:w="8363" w:type="dxa"/>
          </w:tcPr>
          <w:p w:rsidR="005113B3" w:rsidRDefault="00AC1D27">
            <w:pPr>
              <w:numPr>
                <w:ilvl w:val="0"/>
                <w:numId w:val="5"/>
              </w:numPr>
              <w:pBdr>
                <w:top w:val="nil"/>
                <w:left w:val="nil"/>
                <w:bottom w:val="nil"/>
                <w:right w:val="nil"/>
                <w:between w:val="nil"/>
              </w:pBdr>
              <w:spacing w:before="60" w:after="60" w:line="276" w:lineRule="auto"/>
            </w:pPr>
            <w:r>
              <w:rPr>
                <w:rFonts w:ascii="Arial Narrow" w:eastAsia="Arial Narrow" w:hAnsi="Arial Narrow" w:cs="Arial Narrow"/>
                <w:b/>
                <w:color w:val="000000"/>
              </w:rPr>
              <w:t>General ledger supporting details</w:t>
            </w:r>
            <w:r>
              <w:rPr>
                <w:rFonts w:ascii="Arial Narrow" w:eastAsia="Arial Narrow" w:hAnsi="Arial Narrow" w:cs="Arial Narrow"/>
                <w:color w:val="000000"/>
              </w:rPr>
              <w:t>,</w:t>
            </w:r>
            <w:r>
              <w:rPr>
                <w:rFonts w:ascii="Arial Narrow" w:eastAsia="Arial Narrow" w:hAnsi="Arial Narrow" w:cs="Arial Narrow"/>
                <w:b/>
                <w:color w:val="000000"/>
              </w:rPr>
              <w:t xml:space="preserve"> </w:t>
            </w:r>
            <w:r>
              <w:rPr>
                <w:rFonts w:ascii="Arial Narrow" w:eastAsia="Arial Narrow" w:hAnsi="Arial Narrow" w:cs="Arial Narrow"/>
                <w:color w:val="000000"/>
              </w:rPr>
              <w:t>such as subsidiary tables and invoice details. (A)</w:t>
            </w:r>
          </w:p>
        </w:tc>
      </w:tr>
      <w:tr w:rsidR="005113B3">
        <w:trPr>
          <w:trHeight w:val="460"/>
        </w:trPr>
        <w:tc>
          <w:tcPr>
            <w:tcW w:w="1560" w:type="dxa"/>
            <w:vMerge/>
          </w:tcPr>
          <w:p w:rsidR="005113B3" w:rsidRDefault="005113B3">
            <w:pPr>
              <w:widowControl w:val="0"/>
              <w:pBdr>
                <w:top w:val="nil"/>
                <w:left w:val="nil"/>
                <w:bottom w:val="nil"/>
                <w:right w:val="nil"/>
                <w:between w:val="nil"/>
              </w:pBdr>
              <w:spacing w:line="276" w:lineRule="auto"/>
              <w:rPr>
                <w:color w:val="000000"/>
              </w:rPr>
            </w:pPr>
          </w:p>
        </w:tc>
        <w:tc>
          <w:tcPr>
            <w:tcW w:w="8363" w:type="dxa"/>
          </w:tcPr>
          <w:p w:rsidR="005113B3" w:rsidRDefault="00AC1D27">
            <w:pPr>
              <w:numPr>
                <w:ilvl w:val="0"/>
                <w:numId w:val="5"/>
              </w:numPr>
              <w:pBdr>
                <w:top w:val="nil"/>
                <w:left w:val="nil"/>
                <w:bottom w:val="nil"/>
                <w:right w:val="nil"/>
                <w:between w:val="nil"/>
              </w:pBdr>
              <w:spacing w:before="60" w:after="60" w:line="276" w:lineRule="auto"/>
              <w:rPr>
                <w:b/>
                <w:color w:val="000000"/>
              </w:rPr>
            </w:pPr>
            <w:r>
              <w:rPr>
                <w:rFonts w:ascii="Arial Narrow" w:eastAsia="Arial Narrow" w:hAnsi="Arial Narrow" w:cs="Arial Narrow"/>
                <w:b/>
                <w:color w:val="000000"/>
              </w:rPr>
              <w:t xml:space="preserve">Banking transaction </w:t>
            </w:r>
            <w:r>
              <w:rPr>
                <w:rFonts w:ascii="Arial Narrow" w:eastAsia="Arial Narrow" w:hAnsi="Arial Narrow" w:cs="Arial Narrow"/>
                <w:color w:val="000000"/>
              </w:rPr>
              <w:t>records, such as deposit slips (hard copy), deposit sheets (vouchers), deposits correspondence, cheques, vouchers, journal entries and electronic copies of fund transfers/transactions</w:t>
            </w:r>
            <w:r>
              <w:rPr>
                <w:rFonts w:ascii="Arial Narrow" w:eastAsia="Arial Narrow" w:hAnsi="Arial Narrow" w:cs="Arial Narrow"/>
                <w:color w:val="000000"/>
              </w:rPr>
              <w:t>. (D)</w:t>
            </w:r>
          </w:p>
        </w:tc>
      </w:tr>
      <w:tr w:rsidR="005113B3">
        <w:trPr>
          <w:trHeight w:val="460"/>
        </w:trPr>
        <w:tc>
          <w:tcPr>
            <w:tcW w:w="1560" w:type="dxa"/>
            <w:vMerge/>
          </w:tcPr>
          <w:p w:rsidR="005113B3" w:rsidRDefault="005113B3">
            <w:pPr>
              <w:widowControl w:val="0"/>
              <w:pBdr>
                <w:top w:val="nil"/>
                <w:left w:val="nil"/>
                <w:bottom w:val="nil"/>
                <w:right w:val="nil"/>
                <w:between w:val="nil"/>
              </w:pBdr>
              <w:spacing w:line="276" w:lineRule="auto"/>
              <w:rPr>
                <w:b/>
                <w:color w:val="000000"/>
              </w:rPr>
            </w:pPr>
          </w:p>
        </w:tc>
        <w:tc>
          <w:tcPr>
            <w:tcW w:w="8363" w:type="dxa"/>
          </w:tcPr>
          <w:p w:rsidR="005113B3" w:rsidRDefault="00AC1D27">
            <w:pPr>
              <w:numPr>
                <w:ilvl w:val="0"/>
                <w:numId w:val="5"/>
              </w:numPr>
              <w:pBdr>
                <w:top w:val="nil"/>
                <w:left w:val="nil"/>
                <w:bottom w:val="nil"/>
                <w:right w:val="nil"/>
                <w:between w:val="nil"/>
              </w:pBdr>
              <w:spacing w:before="60" w:after="60" w:line="276" w:lineRule="auto"/>
            </w:pPr>
            <w:r>
              <w:rPr>
                <w:rFonts w:ascii="Arial Narrow" w:eastAsia="Arial Narrow" w:hAnsi="Arial Narrow" w:cs="Arial Narrow"/>
                <w:b/>
                <w:color w:val="000000"/>
              </w:rPr>
              <w:t>Credit card tracking</w:t>
            </w:r>
            <w:r>
              <w:rPr>
                <w:rFonts w:ascii="Arial Narrow" w:eastAsia="Arial Narrow" w:hAnsi="Arial Narrow" w:cs="Arial Narrow"/>
                <w:color w:val="000000"/>
              </w:rPr>
              <w:t xml:space="preserve"> records, such as monthly statements, proof of payment, reconciliations, supporting documentation. (D)</w:t>
            </w:r>
          </w:p>
        </w:tc>
      </w:tr>
      <w:tr w:rsidR="005113B3">
        <w:trPr>
          <w:trHeight w:val="460"/>
        </w:trPr>
        <w:tc>
          <w:tcPr>
            <w:tcW w:w="1560" w:type="dxa"/>
            <w:vMerge/>
          </w:tcPr>
          <w:p w:rsidR="005113B3" w:rsidRDefault="005113B3">
            <w:pPr>
              <w:widowControl w:val="0"/>
              <w:pBdr>
                <w:top w:val="nil"/>
                <w:left w:val="nil"/>
                <w:bottom w:val="nil"/>
                <w:right w:val="nil"/>
                <w:between w:val="nil"/>
              </w:pBdr>
              <w:spacing w:line="276" w:lineRule="auto"/>
              <w:rPr>
                <w:color w:val="000000"/>
              </w:rPr>
            </w:pPr>
          </w:p>
        </w:tc>
        <w:tc>
          <w:tcPr>
            <w:tcW w:w="8363" w:type="dxa"/>
          </w:tcPr>
          <w:p w:rsidR="005113B3" w:rsidRDefault="00AC1D27">
            <w:pPr>
              <w:numPr>
                <w:ilvl w:val="0"/>
                <w:numId w:val="5"/>
              </w:numPr>
              <w:pBdr>
                <w:top w:val="nil"/>
                <w:left w:val="nil"/>
                <w:bottom w:val="nil"/>
                <w:right w:val="nil"/>
                <w:between w:val="nil"/>
              </w:pBdr>
              <w:spacing w:before="60" w:after="60" w:line="276" w:lineRule="auto"/>
              <w:rPr>
                <w:b/>
                <w:color w:val="000000"/>
              </w:rPr>
            </w:pPr>
            <w:r>
              <w:rPr>
                <w:rFonts w:ascii="Arial Narrow" w:eastAsia="Arial Narrow" w:hAnsi="Arial Narrow" w:cs="Arial Narrow"/>
                <w:b/>
                <w:color w:val="000000"/>
              </w:rPr>
              <w:t>External and internal financial reports</w:t>
            </w:r>
            <w:r>
              <w:rPr>
                <w:rFonts w:ascii="Arial Narrow" w:eastAsia="Arial Narrow" w:hAnsi="Arial Narrow" w:cs="Arial Narrow"/>
                <w:color w:val="000000"/>
              </w:rPr>
              <w:t xml:space="preserve"> (excluding Audited Financial Statement), such as month-end reports, Financial Information Report System (FIRS) reports, annual reporting to federal and provincial agencies, Canadian Association of University Business Officers (CAUBO) reports, automated fi</w:t>
            </w:r>
            <w:r>
              <w:rPr>
                <w:rFonts w:ascii="Arial Narrow" w:eastAsia="Arial Narrow" w:hAnsi="Arial Narrow" w:cs="Arial Narrow"/>
                <w:color w:val="000000"/>
              </w:rPr>
              <w:t>nancial statements (e.g. Peoplesoft) and Sponsor Financial Statements (e.g. Form 300, Statement of Award and Expenditures). (A)</w:t>
            </w:r>
          </w:p>
        </w:tc>
      </w:tr>
      <w:tr w:rsidR="005113B3">
        <w:trPr>
          <w:trHeight w:val="460"/>
        </w:trPr>
        <w:tc>
          <w:tcPr>
            <w:tcW w:w="1560" w:type="dxa"/>
            <w:vMerge/>
          </w:tcPr>
          <w:p w:rsidR="005113B3" w:rsidRDefault="005113B3">
            <w:pPr>
              <w:widowControl w:val="0"/>
              <w:pBdr>
                <w:top w:val="nil"/>
                <w:left w:val="nil"/>
                <w:bottom w:val="nil"/>
                <w:right w:val="nil"/>
                <w:between w:val="nil"/>
              </w:pBdr>
              <w:spacing w:line="276" w:lineRule="auto"/>
              <w:rPr>
                <w:b/>
                <w:color w:val="000000"/>
              </w:rPr>
            </w:pPr>
          </w:p>
        </w:tc>
        <w:tc>
          <w:tcPr>
            <w:tcW w:w="8363" w:type="dxa"/>
          </w:tcPr>
          <w:p w:rsidR="005113B3" w:rsidRDefault="00AC1D27">
            <w:pPr>
              <w:numPr>
                <w:ilvl w:val="0"/>
                <w:numId w:val="5"/>
              </w:numPr>
              <w:pBdr>
                <w:top w:val="nil"/>
                <w:left w:val="nil"/>
                <w:bottom w:val="nil"/>
                <w:right w:val="nil"/>
                <w:between w:val="nil"/>
              </w:pBdr>
              <w:spacing w:before="60" w:after="60" w:line="276" w:lineRule="auto"/>
              <w:rPr>
                <w:b/>
                <w:color w:val="000000"/>
              </w:rPr>
            </w:pPr>
            <w:r>
              <w:rPr>
                <w:rFonts w:ascii="Arial Narrow" w:eastAsia="Arial Narrow" w:hAnsi="Arial Narrow" w:cs="Arial Narrow"/>
                <w:b/>
                <w:color w:val="000000"/>
              </w:rPr>
              <w:t>Customs and shipping</w:t>
            </w:r>
            <w:r>
              <w:rPr>
                <w:rFonts w:ascii="Arial Narrow" w:eastAsia="Arial Narrow" w:hAnsi="Arial Narrow" w:cs="Arial Narrow"/>
                <w:color w:val="000000"/>
              </w:rPr>
              <w:t xml:space="preserve"> records, such as customs records (permits and customs supporting documentation), distribution services re</w:t>
            </w:r>
            <w:r>
              <w:rPr>
                <w:rFonts w:ascii="Arial Narrow" w:eastAsia="Arial Narrow" w:hAnsi="Arial Narrow" w:cs="Arial Narrow"/>
                <w:color w:val="000000"/>
              </w:rPr>
              <w:t>cords - waybills, dangerous goods documents (outbound and inbound). (D)</w:t>
            </w:r>
          </w:p>
        </w:tc>
      </w:tr>
      <w:tr w:rsidR="005113B3">
        <w:trPr>
          <w:trHeight w:val="460"/>
        </w:trPr>
        <w:tc>
          <w:tcPr>
            <w:tcW w:w="1560" w:type="dxa"/>
            <w:vMerge/>
          </w:tcPr>
          <w:p w:rsidR="005113B3" w:rsidRDefault="005113B3">
            <w:pPr>
              <w:widowControl w:val="0"/>
              <w:pBdr>
                <w:top w:val="nil"/>
                <w:left w:val="nil"/>
                <w:bottom w:val="nil"/>
                <w:right w:val="nil"/>
                <w:between w:val="nil"/>
              </w:pBdr>
              <w:spacing w:line="276" w:lineRule="auto"/>
              <w:rPr>
                <w:b/>
                <w:color w:val="000000"/>
              </w:rPr>
            </w:pPr>
          </w:p>
        </w:tc>
        <w:tc>
          <w:tcPr>
            <w:tcW w:w="8363" w:type="dxa"/>
          </w:tcPr>
          <w:p w:rsidR="005113B3" w:rsidRDefault="00AC1D27">
            <w:pPr>
              <w:numPr>
                <w:ilvl w:val="0"/>
                <w:numId w:val="5"/>
              </w:numPr>
              <w:pBdr>
                <w:top w:val="nil"/>
                <w:left w:val="nil"/>
                <w:bottom w:val="nil"/>
                <w:right w:val="nil"/>
                <w:between w:val="nil"/>
              </w:pBdr>
              <w:spacing w:before="60" w:after="60" w:line="276" w:lineRule="auto"/>
              <w:rPr>
                <w:b/>
                <w:color w:val="000000"/>
              </w:rPr>
            </w:pPr>
            <w:r>
              <w:rPr>
                <w:rFonts w:ascii="Arial Narrow" w:eastAsia="Arial Narrow" w:hAnsi="Arial Narrow" w:cs="Arial Narrow"/>
                <w:b/>
                <w:color w:val="000000"/>
              </w:rPr>
              <w:t>Student payment</w:t>
            </w:r>
            <w:r>
              <w:rPr>
                <w:rFonts w:ascii="Arial Narrow" w:eastAsia="Arial Narrow" w:hAnsi="Arial Narrow" w:cs="Arial Narrow"/>
                <w:color w:val="000000"/>
              </w:rPr>
              <w:t xml:space="preserve"> records (tuition, fees), such as copies of payment records (tuition, fees). (D)</w:t>
            </w:r>
          </w:p>
        </w:tc>
      </w:tr>
      <w:tr w:rsidR="005113B3">
        <w:trPr>
          <w:trHeight w:val="460"/>
        </w:trPr>
        <w:tc>
          <w:tcPr>
            <w:tcW w:w="1560" w:type="dxa"/>
            <w:vMerge/>
          </w:tcPr>
          <w:p w:rsidR="005113B3" w:rsidRDefault="005113B3">
            <w:pPr>
              <w:widowControl w:val="0"/>
              <w:pBdr>
                <w:top w:val="nil"/>
                <w:left w:val="nil"/>
                <w:bottom w:val="nil"/>
                <w:right w:val="nil"/>
                <w:between w:val="nil"/>
              </w:pBdr>
              <w:spacing w:line="276" w:lineRule="auto"/>
              <w:rPr>
                <w:b/>
                <w:color w:val="000000"/>
              </w:rPr>
            </w:pPr>
          </w:p>
        </w:tc>
        <w:tc>
          <w:tcPr>
            <w:tcW w:w="8363" w:type="dxa"/>
          </w:tcPr>
          <w:p w:rsidR="005113B3" w:rsidRDefault="00AC1D27">
            <w:pPr>
              <w:numPr>
                <w:ilvl w:val="0"/>
                <w:numId w:val="1"/>
              </w:numPr>
              <w:pBdr>
                <w:top w:val="nil"/>
                <w:left w:val="nil"/>
                <w:bottom w:val="nil"/>
                <w:right w:val="nil"/>
                <w:between w:val="nil"/>
              </w:pBdr>
              <w:spacing w:before="60" w:after="60" w:line="276" w:lineRule="auto"/>
              <w:ind w:left="357" w:hanging="357"/>
              <w:rPr>
                <w:b/>
                <w:color w:val="000000"/>
              </w:rPr>
            </w:pPr>
            <w:r>
              <w:rPr>
                <w:rFonts w:ascii="Arial Narrow" w:eastAsia="Arial Narrow" w:hAnsi="Arial Narrow" w:cs="Arial Narrow"/>
                <w:b/>
                <w:color w:val="000000"/>
              </w:rPr>
              <w:t>Batch Financial Processing</w:t>
            </w:r>
            <w:r>
              <w:rPr>
                <w:rFonts w:ascii="Arial Narrow" w:eastAsia="Arial Narrow" w:hAnsi="Arial Narrow" w:cs="Arial Narrow"/>
                <w:color w:val="000000"/>
              </w:rPr>
              <w:t xml:space="preserve"> records related to donations, such as allocations (e.g. Peoplesoft), journal entries (e.g. Peoplesoft), cheques, fund solicitation material and gift cover sheets. (D)</w:t>
            </w:r>
          </w:p>
        </w:tc>
      </w:tr>
      <w:tr w:rsidR="005113B3">
        <w:trPr>
          <w:trHeight w:val="460"/>
        </w:trPr>
        <w:tc>
          <w:tcPr>
            <w:tcW w:w="1560" w:type="dxa"/>
            <w:vMerge/>
          </w:tcPr>
          <w:p w:rsidR="005113B3" w:rsidRDefault="005113B3">
            <w:pPr>
              <w:widowControl w:val="0"/>
              <w:pBdr>
                <w:top w:val="nil"/>
                <w:left w:val="nil"/>
                <w:bottom w:val="nil"/>
                <w:right w:val="nil"/>
                <w:between w:val="nil"/>
              </w:pBdr>
              <w:spacing w:line="276" w:lineRule="auto"/>
              <w:rPr>
                <w:b/>
                <w:color w:val="000000"/>
              </w:rPr>
            </w:pPr>
          </w:p>
        </w:tc>
        <w:tc>
          <w:tcPr>
            <w:tcW w:w="8363" w:type="dxa"/>
          </w:tcPr>
          <w:p w:rsidR="005113B3" w:rsidRDefault="00AC1D27">
            <w:pPr>
              <w:numPr>
                <w:ilvl w:val="0"/>
                <w:numId w:val="1"/>
              </w:numPr>
              <w:pBdr>
                <w:top w:val="nil"/>
                <w:left w:val="nil"/>
                <w:bottom w:val="nil"/>
                <w:right w:val="nil"/>
                <w:between w:val="nil"/>
              </w:pBdr>
              <w:spacing w:before="60" w:after="60" w:line="276" w:lineRule="auto"/>
            </w:pPr>
            <w:r>
              <w:rPr>
                <w:rFonts w:ascii="Arial Narrow" w:eastAsia="Arial Narrow" w:hAnsi="Arial Narrow" w:cs="Arial Narrow"/>
                <w:b/>
                <w:color w:val="000000"/>
              </w:rPr>
              <w:t>Endowment-related financial transaction</w:t>
            </w:r>
            <w:r>
              <w:rPr>
                <w:rFonts w:ascii="Arial Narrow" w:eastAsia="Arial Narrow" w:hAnsi="Arial Narrow" w:cs="Arial Narrow"/>
                <w:color w:val="000000"/>
              </w:rPr>
              <w:t xml:space="preserve"> records, such as fund solicitation material, gift cover sheets, cheques, allocations (Peoplesoft data), journal entries (PeopleSoft data), receipts, financial source documentation and other supporting information. (D)</w:t>
            </w:r>
          </w:p>
        </w:tc>
      </w:tr>
      <w:tr w:rsidR="005113B3">
        <w:trPr>
          <w:trHeight w:val="480"/>
        </w:trPr>
        <w:tc>
          <w:tcPr>
            <w:tcW w:w="1560" w:type="dxa"/>
            <w:vMerge/>
          </w:tcPr>
          <w:p w:rsidR="005113B3" w:rsidRDefault="005113B3">
            <w:pPr>
              <w:widowControl w:val="0"/>
              <w:pBdr>
                <w:top w:val="nil"/>
                <w:left w:val="nil"/>
                <w:bottom w:val="nil"/>
                <w:right w:val="nil"/>
                <w:between w:val="nil"/>
              </w:pBdr>
              <w:spacing w:line="276" w:lineRule="auto"/>
              <w:rPr>
                <w:color w:val="000000"/>
              </w:rPr>
            </w:pPr>
          </w:p>
        </w:tc>
        <w:tc>
          <w:tcPr>
            <w:tcW w:w="8363" w:type="dxa"/>
          </w:tcPr>
          <w:p w:rsidR="005113B3" w:rsidRDefault="00AC1D27">
            <w:pPr>
              <w:numPr>
                <w:ilvl w:val="0"/>
                <w:numId w:val="5"/>
              </w:numPr>
              <w:pBdr>
                <w:top w:val="nil"/>
                <w:left w:val="nil"/>
                <w:bottom w:val="nil"/>
                <w:right w:val="nil"/>
                <w:between w:val="nil"/>
              </w:pBdr>
              <w:spacing w:before="60" w:after="60" w:line="276" w:lineRule="auto"/>
              <w:rPr>
                <w:rFonts w:ascii="Arial Narrow" w:eastAsia="Arial Narrow" w:hAnsi="Arial Narrow" w:cs="Arial Narrow"/>
                <w:b/>
                <w:color w:val="000000"/>
              </w:rPr>
            </w:pPr>
            <w:r>
              <w:rPr>
                <w:rFonts w:ascii="Arial Narrow" w:eastAsia="Arial Narrow" w:hAnsi="Arial Narrow" w:cs="Arial Narrow"/>
                <w:b/>
                <w:color w:val="000000"/>
              </w:rPr>
              <w:t>Research fund financial records</w:t>
            </w:r>
            <w:r>
              <w:rPr>
                <w:rFonts w:ascii="Arial Narrow" w:eastAsia="Arial Narrow" w:hAnsi="Arial Narrow" w:cs="Arial Narrow"/>
                <w:color w:val="000000"/>
              </w:rPr>
              <w:t>, such as automated financial statements (e.g. Peoplesoft), Sponsor Financial Statements (e.g. Form 300, Statement of Award and Expenditures), revenue transaction data (Peoplesoft), lists of expenses, invoices, expense data (PeopleSoft) and milestone docum</w:t>
            </w:r>
            <w:r>
              <w:rPr>
                <w:rFonts w:ascii="Arial Narrow" w:eastAsia="Arial Narrow" w:hAnsi="Arial Narrow" w:cs="Arial Narrow"/>
                <w:color w:val="000000"/>
              </w:rPr>
              <w:t>entation. (D)</w:t>
            </w:r>
          </w:p>
        </w:tc>
      </w:tr>
      <w:tr w:rsidR="005113B3">
        <w:trPr>
          <w:trHeight w:val="58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b/>
                <w:color w:val="000000"/>
              </w:rPr>
            </w:pPr>
          </w:p>
        </w:tc>
        <w:tc>
          <w:tcPr>
            <w:tcW w:w="8363" w:type="dxa"/>
          </w:tcPr>
          <w:p w:rsidR="005113B3" w:rsidRDefault="00AC1D27">
            <w:pPr>
              <w:numPr>
                <w:ilvl w:val="0"/>
                <w:numId w:val="5"/>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b/>
                <w:color w:val="000000"/>
              </w:rPr>
              <w:t>Demand letters</w:t>
            </w:r>
            <w:r>
              <w:rPr>
                <w:rFonts w:ascii="Arial Narrow" w:eastAsia="Arial Narrow" w:hAnsi="Arial Narrow" w:cs="Arial Narrow"/>
                <w:color w:val="000000"/>
              </w:rPr>
              <w:t xml:space="preserve"> issued to sponsors for outstanding payments. (D)</w:t>
            </w:r>
          </w:p>
        </w:tc>
      </w:tr>
      <w:tr w:rsidR="005113B3">
        <w:trPr>
          <w:trHeight w:val="200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Exceptions:</w:t>
            </w:r>
          </w:p>
        </w:tc>
        <w:tc>
          <w:tcPr>
            <w:tcW w:w="8363" w:type="dxa"/>
          </w:tcPr>
          <w:p w:rsidR="005113B3" w:rsidRDefault="00AC1D27">
            <w:pPr>
              <w:numPr>
                <w:ilvl w:val="0"/>
                <w:numId w:val="2"/>
              </w:numPr>
              <w:pBdr>
                <w:top w:val="nil"/>
                <w:left w:val="nil"/>
                <w:bottom w:val="nil"/>
                <w:right w:val="nil"/>
                <w:between w:val="nil"/>
              </w:pBdr>
              <w:spacing w:before="60" w:after="60" w:line="276" w:lineRule="auto"/>
            </w:pPr>
            <w:r>
              <w:rPr>
                <w:rFonts w:ascii="Arial Narrow" w:eastAsia="Arial Narrow" w:hAnsi="Arial Narrow" w:cs="Arial Narrow"/>
                <w:color w:val="000000"/>
              </w:rPr>
              <w:t xml:space="preserve">Where a research fund involves a </w:t>
            </w:r>
            <w:r>
              <w:rPr>
                <w:rFonts w:ascii="Arial Narrow" w:eastAsia="Arial Narrow" w:hAnsi="Arial Narrow" w:cs="Arial Narrow"/>
                <w:b/>
                <w:color w:val="000000"/>
              </w:rPr>
              <w:t>clinical trial</w:t>
            </w:r>
            <w:r>
              <w:rPr>
                <w:rFonts w:ascii="Arial Narrow" w:eastAsia="Arial Narrow" w:hAnsi="Arial Narrow" w:cs="Arial Narrow"/>
                <w:color w:val="000000"/>
              </w:rPr>
              <w:t xml:space="preserve">, any records necessary to "document the financial agreement between the investigator/institution and the sponsor for the trial" shall be retained for 25 years, as specified by Health Canada's </w:t>
            </w:r>
            <w:r>
              <w:rPr>
                <w:rFonts w:ascii="Arial Narrow" w:eastAsia="Arial Narrow" w:hAnsi="Arial Narrow" w:cs="Arial Narrow"/>
                <w:i/>
                <w:color w:val="000000"/>
              </w:rPr>
              <w:t xml:space="preserve">Guidance for Records Related to Clinical Trials (GUIDE-0068) </w:t>
            </w:r>
            <w:r>
              <w:rPr>
                <w:rFonts w:ascii="Arial Narrow" w:eastAsia="Arial Narrow" w:hAnsi="Arial Narrow" w:cs="Arial Narrow"/>
                <w:color w:val="000000"/>
              </w:rPr>
              <w:t>an</w:t>
            </w:r>
            <w:r>
              <w:rPr>
                <w:rFonts w:ascii="Arial Narrow" w:eastAsia="Arial Narrow" w:hAnsi="Arial Narrow" w:cs="Arial Narrow"/>
                <w:color w:val="000000"/>
              </w:rPr>
              <w:t>d aligned with the Food and Drug Regulations, CRC, c 870, s. C.05.012 (1).</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Payment card information (PCI) and other Personally Identifiable Information (PII) may be purged at an earlier date where necessary to comply with data security standards and/or pri</w:t>
            </w:r>
            <w:r>
              <w:rPr>
                <w:rFonts w:ascii="Arial Narrow" w:eastAsia="Arial Narrow" w:hAnsi="Arial Narrow" w:cs="Arial Narrow"/>
                <w:color w:val="000000"/>
              </w:rPr>
              <w:t>vacy legislation.</w:t>
            </w:r>
          </w:p>
        </w:tc>
      </w:tr>
      <w:tr w:rsidR="005113B3">
        <w:trPr>
          <w:trHeight w:val="154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i/>
                <w:color w:val="000000"/>
              </w:rPr>
            </w:pPr>
            <w:r>
              <w:rPr>
                <w:rFonts w:ascii="Arial Narrow" w:eastAsia="Arial Narrow" w:hAnsi="Arial Narrow" w:cs="Arial Narrow"/>
                <w:b/>
                <w:i/>
                <w:color w:val="000000"/>
                <w:sz w:val="20"/>
                <w:szCs w:val="20"/>
              </w:rPr>
              <w:t>Excludes:</w:t>
            </w:r>
          </w:p>
        </w:tc>
        <w:tc>
          <w:tcPr>
            <w:tcW w:w="8363" w:type="dxa"/>
          </w:tcPr>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Departmental budgets (use FI-3).</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Tax filing records such as GST returns (use FI-10).</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General ledger main tables (use FI-E10).</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 xml:space="preserve">Capital asset account records related to University buildings and learning resources (e.g. library collection (use FI-E10). </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Departmental budgets (use FI-3).</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General ledger main tables (use FI-E10).</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 xml:space="preserve">Capital asset account records related to University buildings and learning resources (e.g. library collection (use FI-E10). </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Terms and conditions, statements of trust and other endowment-related legal documents (use applicable Records Retention Schedule un</w:t>
            </w:r>
            <w:r>
              <w:rPr>
                <w:rFonts w:ascii="Arial Narrow" w:eastAsia="Arial Narrow" w:hAnsi="Arial Narrow" w:cs="Arial Narrow"/>
                <w:color w:val="000000"/>
              </w:rPr>
              <w:t>der AD – Advancement).</w:t>
            </w:r>
          </w:p>
          <w:p w:rsidR="005113B3" w:rsidRDefault="00AC1D27">
            <w:pPr>
              <w:numPr>
                <w:ilvl w:val="0"/>
                <w:numId w:val="2"/>
              </w:numPr>
              <w:pBdr>
                <w:top w:val="nil"/>
                <w:left w:val="nil"/>
                <w:bottom w:val="nil"/>
                <w:right w:val="nil"/>
                <w:between w:val="nil"/>
              </w:pBdr>
              <w:spacing w:before="60" w:after="60" w:line="276" w:lineRule="auto"/>
            </w:pPr>
            <w:r>
              <w:rPr>
                <w:rFonts w:ascii="Arial Narrow" w:eastAsia="Arial Narrow" w:hAnsi="Arial Narrow" w:cs="Arial Narrow"/>
                <w:color w:val="000000"/>
              </w:rPr>
              <w:t>Legal agreements and supporting case file (use applicable Records Retention Schedule under LE – Legal.</w:t>
            </w:r>
          </w:p>
          <w:p w:rsidR="005113B3" w:rsidRDefault="00AC1D27">
            <w:pPr>
              <w:numPr>
                <w:ilvl w:val="0"/>
                <w:numId w:val="2"/>
              </w:numPr>
              <w:pBdr>
                <w:top w:val="nil"/>
                <w:left w:val="nil"/>
                <w:bottom w:val="nil"/>
                <w:right w:val="nil"/>
                <w:between w:val="nil"/>
              </w:pBdr>
              <w:spacing w:before="60" w:after="60" w:line="276" w:lineRule="auto"/>
            </w:pPr>
            <w:r>
              <w:rPr>
                <w:rFonts w:ascii="Arial Narrow" w:eastAsia="Arial Narrow" w:hAnsi="Arial Narrow" w:cs="Arial Narrow"/>
                <w:color w:val="000000"/>
              </w:rPr>
              <w:t>Proceedings and other records of University governance committees (use applicable retention schedule under GO - Governance).</w:t>
            </w:r>
          </w:p>
        </w:tc>
      </w:tr>
      <w:tr w:rsidR="005113B3">
        <w:trPr>
          <w:trHeight w:val="68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Final Disposition</w:t>
            </w:r>
          </w:p>
        </w:tc>
        <w:tc>
          <w:tcPr>
            <w:tcW w:w="8363"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Itemized above:</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D = Destroy or delete</w:t>
            </w:r>
          </w:p>
          <w:p w:rsidR="005113B3" w:rsidRDefault="00AC1D27">
            <w:pPr>
              <w:pBdr>
                <w:top w:val="nil"/>
                <w:left w:val="nil"/>
                <w:bottom w:val="nil"/>
                <w:right w:val="nil"/>
                <w:between w:val="nil"/>
              </w:pBdr>
              <w:spacing w:before="60" w:after="60" w:line="276" w:lineRule="auto"/>
              <w:ind w:left="360"/>
              <w:rPr>
                <w:color w:val="000000"/>
              </w:rPr>
            </w:pPr>
            <w:r>
              <w:rPr>
                <w:rFonts w:ascii="Arial Narrow" w:eastAsia="Arial Narrow" w:hAnsi="Arial Narrow" w:cs="Arial Narrow"/>
                <w:color w:val="000000"/>
              </w:rPr>
              <w:t>A = Transfer to University Archives, subject to archival review</w:t>
            </w:r>
          </w:p>
        </w:tc>
      </w:tr>
    </w:tbl>
    <w:p w:rsidR="005113B3" w:rsidRDefault="00AC1D27">
      <w:r>
        <w:br w:type="page"/>
      </w:r>
    </w:p>
    <w:tbl>
      <w:tblPr>
        <w:tblStyle w:val="ac"/>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363"/>
      </w:tblGrid>
      <w:tr w:rsidR="005113B3">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lastRenderedPageBreak/>
              <w:t>Retention Code:</w:t>
            </w:r>
          </w:p>
        </w:tc>
        <w:tc>
          <w:tcPr>
            <w:tcW w:w="8363"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color w:val="000000"/>
              </w:rPr>
            </w:pPr>
            <w:r>
              <w:rPr>
                <w:rFonts w:ascii="Arial Narrow" w:eastAsia="Arial Narrow" w:hAnsi="Arial Narrow" w:cs="Arial Narrow"/>
                <w:b/>
                <w:color w:val="000000"/>
              </w:rPr>
              <w:t>FI-10</w:t>
            </w:r>
          </w:p>
        </w:tc>
      </w:tr>
      <w:tr w:rsidR="005113B3">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Category:</w:t>
            </w:r>
          </w:p>
        </w:tc>
        <w:tc>
          <w:tcPr>
            <w:tcW w:w="8363"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color w:val="000000"/>
              </w:rPr>
            </w:pPr>
            <w:r>
              <w:rPr>
                <w:rFonts w:ascii="Arial Narrow" w:eastAsia="Arial Narrow" w:hAnsi="Arial Narrow" w:cs="Arial Narrow"/>
                <w:b/>
                <w:color w:val="000000"/>
              </w:rPr>
              <w:t>FI – Finance</w:t>
            </w:r>
          </w:p>
        </w:tc>
      </w:tr>
      <w:tr w:rsidR="005113B3">
        <w:trPr>
          <w:trHeight w:val="64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Timeline:</w:t>
            </w:r>
          </w:p>
        </w:tc>
        <w:tc>
          <w:tcPr>
            <w:tcW w:w="8363" w:type="dxa"/>
          </w:tcPr>
          <w:p w:rsidR="005113B3" w:rsidRDefault="00AC1D27">
            <w:pPr>
              <w:pBdr>
                <w:top w:val="nil"/>
                <w:left w:val="nil"/>
                <w:bottom w:val="nil"/>
                <w:right w:val="nil"/>
                <w:between w:val="nil"/>
              </w:pBdr>
              <w:tabs>
                <w:tab w:val="left" w:pos="1624"/>
              </w:tabs>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Current year + 10 years</w:t>
            </w:r>
          </w:p>
        </w:tc>
      </w:tr>
      <w:tr w:rsidR="005113B3">
        <w:trPr>
          <w:trHeight w:val="82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Business Activity:</w:t>
            </w:r>
          </w:p>
        </w:tc>
        <w:tc>
          <w:tcPr>
            <w:tcW w:w="8363"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 xml:space="preserve">Apply this timeline to records and information which support tax requirements and other ongoing obligations associated with the University’s financial transactions and assets.  </w:t>
            </w:r>
          </w:p>
        </w:tc>
      </w:tr>
      <w:tr w:rsidR="005113B3">
        <w:trPr>
          <w:trHeight w:val="460"/>
        </w:trPr>
        <w:tc>
          <w:tcPr>
            <w:tcW w:w="1560" w:type="dxa"/>
            <w:vMerge w:val="restart"/>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Scope:</w:t>
            </w:r>
          </w:p>
        </w:tc>
        <w:tc>
          <w:tcPr>
            <w:tcW w:w="8363"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u w:val="single"/>
              </w:rPr>
            </w:pPr>
            <w:r>
              <w:rPr>
                <w:rFonts w:ascii="Arial Narrow" w:eastAsia="Arial Narrow" w:hAnsi="Arial Narrow" w:cs="Arial Narrow"/>
                <w:color w:val="000000"/>
              </w:rPr>
              <w:t>Examples of in-scope records and information include but are not limited to:</w:t>
            </w:r>
          </w:p>
        </w:tc>
      </w:tr>
      <w:tr w:rsidR="005113B3">
        <w:trPr>
          <w:trHeight w:val="46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u w:val="single"/>
              </w:rPr>
            </w:pPr>
          </w:p>
        </w:tc>
        <w:tc>
          <w:tcPr>
            <w:tcW w:w="8363" w:type="dxa"/>
          </w:tcPr>
          <w:p w:rsidR="005113B3" w:rsidRDefault="00AC1D27">
            <w:pPr>
              <w:numPr>
                <w:ilvl w:val="0"/>
                <w:numId w:val="5"/>
              </w:numPr>
              <w:pBdr>
                <w:top w:val="nil"/>
                <w:left w:val="nil"/>
                <w:bottom w:val="nil"/>
                <w:right w:val="nil"/>
                <w:between w:val="nil"/>
              </w:pBdr>
              <w:spacing w:before="60" w:after="60" w:line="276" w:lineRule="auto"/>
              <w:ind w:left="357" w:hanging="357"/>
              <w:rPr>
                <w:rFonts w:ascii="Arial Narrow" w:eastAsia="Arial Narrow" w:hAnsi="Arial Narrow" w:cs="Arial Narrow"/>
                <w:color w:val="000000"/>
              </w:rPr>
            </w:pPr>
            <w:r>
              <w:rPr>
                <w:rFonts w:ascii="Arial Narrow" w:eastAsia="Arial Narrow" w:hAnsi="Arial Narrow" w:cs="Arial Narrow"/>
                <w:b/>
                <w:color w:val="000000"/>
              </w:rPr>
              <w:t xml:space="preserve">Capital asset (equipment) accounting </w:t>
            </w:r>
            <w:r>
              <w:rPr>
                <w:rFonts w:ascii="Arial Narrow" w:eastAsia="Arial Narrow" w:hAnsi="Arial Narrow" w:cs="Arial Narrow"/>
                <w:color w:val="000000"/>
              </w:rPr>
              <w:t>records, including inventory data ("Equipment pool by month") and depreciation information related to scientific equipment, computers, software, furniture and office equipment. (D)</w:t>
            </w:r>
          </w:p>
        </w:tc>
      </w:tr>
      <w:tr w:rsidR="005113B3">
        <w:trPr>
          <w:trHeight w:val="46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8363" w:type="dxa"/>
          </w:tcPr>
          <w:p w:rsidR="005113B3" w:rsidRDefault="00AC1D27">
            <w:pPr>
              <w:numPr>
                <w:ilvl w:val="0"/>
                <w:numId w:val="5"/>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b/>
                <w:color w:val="000000"/>
              </w:rPr>
              <w:t>Tax filing records</w:t>
            </w:r>
            <w:r>
              <w:rPr>
                <w:rFonts w:ascii="Arial Narrow" w:eastAsia="Arial Narrow" w:hAnsi="Arial Narrow" w:cs="Arial Narrow"/>
                <w:color w:val="000000"/>
              </w:rPr>
              <w:t>, such as monthly GST returns, GST-related claim forms, Canada Revenue Agency Registered Charity Information Return (Form T3010), U.S. Internal Revenue Service Return of Organization Exempt From Income Tax (Form 990), charitable tax return supporting docum</w:t>
            </w:r>
            <w:r>
              <w:rPr>
                <w:rFonts w:ascii="Arial Narrow" w:eastAsia="Arial Narrow" w:hAnsi="Arial Narrow" w:cs="Arial Narrow"/>
                <w:color w:val="000000"/>
              </w:rPr>
              <w:t>ents (e.g. Schedules of donations, lists of donations, gifts-in-kind valuations, calculations) and correspondence with tax authorities. (D)</w:t>
            </w:r>
          </w:p>
        </w:tc>
      </w:tr>
      <w:tr w:rsidR="005113B3">
        <w:trPr>
          <w:trHeight w:val="34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8363" w:type="dxa"/>
          </w:tcPr>
          <w:p w:rsidR="005113B3" w:rsidRDefault="00AC1D27">
            <w:pPr>
              <w:numPr>
                <w:ilvl w:val="0"/>
                <w:numId w:val="5"/>
              </w:numPr>
              <w:pBdr>
                <w:top w:val="nil"/>
                <w:left w:val="nil"/>
                <w:bottom w:val="nil"/>
                <w:right w:val="nil"/>
                <w:between w:val="nil"/>
              </w:pBdr>
              <w:spacing w:before="60" w:after="60" w:line="276" w:lineRule="auto"/>
              <w:rPr>
                <w:rFonts w:ascii="Arial Narrow" w:eastAsia="Arial Narrow" w:hAnsi="Arial Narrow" w:cs="Arial Narrow"/>
                <w:b/>
                <w:color w:val="000000"/>
              </w:rPr>
            </w:pPr>
            <w:r>
              <w:rPr>
                <w:rFonts w:ascii="Arial Narrow" w:eastAsia="Arial Narrow" w:hAnsi="Arial Narrow" w:cs="Arial Narrow"/>
                <w:b/>
                <w:color w:val="000000"/>
              </w:rPr>
              <w:t xml:space="preserve">Donor charitable tax receipts </w:t>
            </w:r>
            <w:r>
              <w:rPr>
                <w:rFonts w:ascii="Arial Narrow" w:eastAsia="Arial Narrow" w:hAnsi="Arial Narrow" w:cs="Arial Narrow"/>
                <w:color w:val="000000"/>
              </w:rPr>
              <w:t>and supporting records. (D)</w:t>
            </w:r>
          </w:p>
        </w:tc>
      </w:tr>
      <w:tr w:rsidR="005113B3">
        <w:trPr>
          <w:trHeight w:val="70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b/>
                <w:color w:val="000000"/>
              </w:rPr>
            </w:pPr>
          </w:p>
        </w:tc>
        <w:tc>
          <w:tcPr>
            <w:tcW w:w="8363" w:type="dxa"/>
          </w:tcPr>
          <w:p w:rsidR="005113B3" w:rsidRDefault="00AC1D27">
            <w:pPr>
              <w:numPr>
                <w:ilvl w:val="0"/>
                <w:numId w:val="5"/>
              </w:numPr>
              <w:pBdr>
                <w:top w:val="nil"/>
                <w:left w:val="nil"/>
                <w:bottom w:val="nil"/>
                <w:right w:val="nil"/>
                <w:between w:val="nil"/>
              </w:pBdr>
              <w:spacing w:before="60" w:after="60" w:line="276" w:lineRule="auto"/>
              <w:rPr>
                <w:rFonts w:ascii="Arial Narrow" w:eastAsia="Arial Narrow" w:hAnsi="Arial Narrow" w:cs="Arial Narrow"/>
                <w:b/>
                <w:color w:val="000000"/>
              </w:rPr>
            </w:pPr>
            <w:r>
              <w:rPr>
                <w:rFonts w:ascii="Arial Narrow" w:eastAsia="Arial Narrow" w:hAnsi="Arial Narrow" w:cs="Arial Narrow"/>
                <w:color w:val="000000"/>
              </w:rPr>
              <w:t>Records supporting application for</w:t>
            </w:r>
            <w:r>
              <w:rPr>
                <w:rFonts w:ascii="Arial Narrow" w:eastAsia="Arial Narrow" w:hAnsi="Arial Narrow" w:cs="Arial Narrow"/>
                <w:b/>
                <w:color w:val="000000"/>
              </w:rPr>
              <w:t xml:space="preserve"> emission offset credits, carbon competitiveness incentives </w:t>
            </w:r>
            <w:r>
              <w:rPr>
                <w:rFonts w:ascii="Arial Narrow" w:eastAsia="Arial Narrow" w:hAnsi="Arial Narrow" w:cs="Arial Narrow"/>
                <w:color w:val="000000"/>
              </w:rPr>
              <w:t>and other climate/environment-related benefits. (D)</w:t>
            </w:r>
          </w:p>
        </w:tc>
      </w:tr>
      <w:tr w:rsidR="005113B3">
        <w:trPr>
          <w:trHeight w:val="202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Exceptions:</w:t>
            </w:r>
          </w:p>
        </w:tc>
        <w:tc>
          <w:tcPr>
            <w:tcW w:w="8363" w:type="dxa"/>
          </w:tcPr>
          <w:p w:rsidR="005113B3" w:rsidRDefault="00AC1D27">
            <w:pPr>
              <w:numPr>
                <w:ilvl w:val="0"/>
                <w:numId w:val="2"/>
              </w:numPr>
              <w:pBdr>
                <w:top w:val="nil"/>
                <w:left w:val="nil"/>
                <w:bottom w:val="nil"/>
                <w:right w:val="nil"/>
                <w:between w:val="nil"/>
              </w:pBdr>
              <w:spacing w:before="60" w:after="60" w:line="276" w:lineRule="auto"/>
            </w:pPr>
            <w:r>
              <w:rPr>
                <w:rFonts w:ascii="Arial Narrow" w:eastAsia="Arial Narrow" w:hAnsi="Arial Narrow" w:cs="Arial Narrow"/>
                <w:color w:val="000000"/>
              </w:rPr>
              <w:t xml:space="preserve">Where a research fund involves a </w:t>
            </w:r>
            <w:r>
              <w:rPr>
                <w:rFonts w:ascii="Arial Narrow" w:eastAsia="Arial Narrow" w:hAnsi="Arial Narrow" w:cs="Arial Narrow"/>
                <w:b/>
                <w:color w:val="000000"/>
              </w:rPr>
              <w:t>clinical trial</w:t>
            </w:r>
            <w:r>
              <w:rPr>
                <w:rFonts w:ascii="Arial Narrow" w:eastAsia="Arial Narrow" w:hAnsi="Arial Narrow" w:cs="Arial Narrow"/>
                <w:color w:val="000000"/>
              </w:rPr>
              <w:t xml:space="preserve">, any records necessary to "document the financial agreement between the investigator/institution and the sponsor for the trial" shall be retained for 25 years, as specified by Health Canada's </w:t>
            </w:r>
            <w:r>
              <w:rPr>
                <w:rFonts w:ascii="Arial Narrow" w:eastAsia="Arial Narrow" w:hAnsi="Arial Narrow" w:cs="Arial Narrow"/>
                <w:i/>
                <w:color w:val="000000"/>
              </w:rPr>
              <w:t xml:space="preserve">Guidance for Records Related to Clinical Trials (GUIDE-0068) </w:t>
            </w:r>
            <w:r>
              <w:rPr>
                <w:rFonts w:ascii="Arial Narrow" w:eastAsia="Arial Narrow" w:hAnsi="Arial Narrow" w:cs="Arial Narrow"/>
                <w:color w:val="000000"/>
              </w:rPr>
              <w:t>an</w:t>
            </w:r>
            <w:r>
              <w:rPr>
                <w:rFonts w:ascii="Arial Narrow" w:eastAsia="Arial Narrow" w:hAnsi="Arial Narrow" w:cs="Arial Narrow"/>
                <w:color w:val="000000"/>
              </w:rPr>
              <w:t>d aligned with the Food and Drug Regulations, CRC, c 870, s. C.05.012 (1).</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Payment card information (PCI) and other Personally Identifiable Information (PII) may be purged at an earlier date where necessary to comply with data security standards and privac</w:t>
            </w:r>
            <w:r>
              <w:rPr>
                <w:rFonts w:ascii="Arial Narrow" w:eastAsia="Arial Narrow" w:hAnsi="Arial Narrow" w:cs="Arial Narrow"/>
                <w:color w:val="000000"/>
              </w:rPr>
              <w:t>y legislation.</w:t>
            </w:r>
          </w:p>
        </w:tc>
      </w:tr>
      <w:tr w:rsidR="005113B3">
        <w:trPr>
          <w:trHeight w:val="182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i/>
                <w:color w:val="000000"/>
              </w:rPr>
            </w:pPr>
            <w:r>
              <w:rPr>
                <w:rFonts w:ascii="Arial Narrow" w:eastAsia="Arial Narrow" w:hAnsi="Arial Narrow" w:cs="Arial Narrow"/>
                <w:b/>
                <w:i/>
                <w:color w:val="000000"/>
                <w:sz w:val="20"/>
                <w:szCs w:val="20"/>
              </w:rPr>
              <w:t>Excludes:</w:t>
            </w:r>
          </w:p>
        </w:tc>
        <w:tc>
          <w:tcPr>
            <w:tcW w:w="8363" w:type="dxa"/>
          </w:tcPr>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Invoices, receipts and other records of taxable purchases by the University (use FI-6).</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Capital asset account records related to University buildings and learning resources (e.g. library collection (use FI-E10).</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Terms and conditions, statements of trust and other endowment-related legal documents (use applicable Records Retention Schedule under AD – Advancement).</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Legal agreements and supporting case file (use applicable Records Retention Schedule under LE – Legal.</w:t>
            </w:r>
          </w:p>
        </w:tc>
      </w:tr>
      <w:tr w:rsidR="005113B3">
        <w:trPr>
          <w:trHeight w:val="68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Final Disposition</w:t>
            </w:r>
          </w:p>
        </w:tc>
        <w:tc>
          <w:tcPr>
            <w:tcW w:w="8363"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Itemized above:</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D = Destroy or delete</w:t>
            </w:r>
          </w:p>
          <w:p w:rsidR="005113B3" w:rsidRDefault="00AC1D27">
            <w:pPr>
              <w:pBdr>
                <w:top w:val="nil"/>
                <w:left w:val="nil"/>
                <w:bottom w:val="nil"/>
                <w:right w:val="nil"/>
                <w:between w:val="nil"/>
              </w:pBdr>
              <w:spacing w:before="60" w:after="60" w:line="276" w:lineRule="auto"/>
              <w:ind w:left="360"/>
              <w:rPr>
                <w:rFonts w:ascii="Arial Narrow" w:eastAsia="Arial Narrow" w:hAnsi="Arial Narrow" w:cs="Arial Narrow"/>
                <w:color w:val="000000"/>
              </w:rPr>
            </w:pPr>
            <w:r>
              <w:rPr>
                <w:rFonts w:ascii="Arial Narrow" w:eastAsia="Arial Narrow" w:hAnsi="Arial Narrow" w:cs="Arial Narrow"/>
                <w:color w:val="000000"/>
              </w:rPr>
              <w:t>A = Transfer to University Archives, subject to archival review</w:t>
            </w:r>
          </w:p>
        </w:tc>
      </w:tr>
    </w:tbl>
    <w:p w:rsidR="005113B3" w:rsidRDefault="005113B3"/>
    <w:tbl>
      <w:tblPr>
        <w:tblStyle w:val="ad"/>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6662"/>
        <w:gridCol w:w="1701"/>
      </w:tblGrid>
      <w:tr w:rsidR="005113B3">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lastRenderedPageBreak/>
              <w:t>Retention Code:</w:t>
            </w:r>
          </w:p>
        </w:tc>
        <w:tc>
          <w:tcPr>
            <w:tcW w:w="8363" w:type="dxa"/>
            <w:gridSpan w:val="2"/>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color w:val="000000"/>
              </w:rPr>
            </w:pPr>
            <w:r>
              <w:rPr>
                <w:rFonts w:ascii="Arial Narrow" w:eastAsia="Arial Narrow" w:hAnsi="Arial Narrow" w:cs="Arial Narrow"/>
                <w:b/>
                <w:color w:val="000000"/>
              </w:rPr>
              <w:t>FI-E10</w:t>
            </w:r>
          </w:p>
        </w:tc>
      </w:tr>
      <w:tr w:rsidR="005113B3">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Category:</w:t>
            </w:r>
          </w:p>
        </w:tc>
        <w:tc>
          <w:tcPr>
            <w:tcW w:w="8363" w:type="dxa"/>
            <w:gridSpan w:val="2"/>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color w:val="000000"/>
              </w:rPr>
            </w:pPr>
            <w:r>
              <w:rPr>
                <w:rFonts w:ascii="Arial Narrow" w:eastAsia="Arial Narrow" w:hAnsi="Arial Narrow" w:cs="Arial Narrow"/>
                <w:b/>
                <w:color w:val="000000"/>
              </w:rPr>
              <w:t>FI – Finance</w:t>
            </w:r>
          </w:p>
        </w:tc>
      </w:tr>
      <w:tr w:rsidR="005113B3">
        <w:trPr>
          <w:trHeight w:val="64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Timeline:</w:t>
            </w:r>
          </w:p>
        </w:tc>
        <w:tc>
          <w:tcPr>
            <w:tcW w:w="8363" w:type="dxa"/>
            <w:gridSpan w:val="2"/>
          </w:tcPr>
          <w:p w:rsidR="005113B3" w:rsidRDefault="00AC1D27">
            <w:pPr>
              <w:pBdr>
                <w:top w:val="nil"/>
                <w:left w:val="nil"/>
                <w:bottom w:val="nil"/>
                <w:right w:val="nil"/>
                <w:between w:val="nil"/>
              </w:pBdr>
              <w:tabs>
                <w:tab w:val="left" w:pos="1624"/>
              </w:tabs>
              <w:spacing w:before="60" w:after="60" w:line="276" w:lineRule="auto"/>
              <w:rPr>
                <w:rFonts w:ascii="Arial Narrow" w:eastAsia="Arial Narrow" w:hAnsi="Arial Narrow" w:cs="Arial Narrow"/>
                <w:color w:val="000000"/>
              </w:rPr>
            </w:pPr>
            <w:r>
              <w:rPr>
                <w:rFonts w:ascii="Arial Narrow" w:eastAsia="Arial Narrow" w:hAnsi="Arial Narrow" w:cs="Arial Narrow"/>
                <w:b/>
                <w:color w:val="000000"/>
              </w:rPr>
              <w:t xml:space="preserve">E+10: </w:t>
            </w:r>
            <w:r>
              <w:rPr>
                <w:rFonts w:ascii="Arial Narrow" w:eastAsia="Arial Narrow" w:hAnsi="Arial Narrow" w:cs="Arial Narrow"/>
                <w:color w:val="000000"/>
              </w:rPr>
              <w:t>10 years after occurrence of the applicable Trigger Event, as specified below</w:t>
            </w:r>
          </w:p>
        </w:tc>
      </w:tr>
      <w:tr w:rsidR="005113B3">
        <w:trPr>
          <w:trHeight w:val="92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Business Activity:</w:t>
            </w:r>
          </w:p>
        </w:tc>
        <w:tc>
          <w:tcPr>
            <w:tcW w:w="8363" w:type="dxa"/>
            <w:gridSpan w:val="2"/>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 xml:space="preserve">Apply this timeline to records and information which support the long-term development and sustainment of the University of Alberta’s financial processes, assets and obligations, as well as ongoing relationships with sponsors, donors and other parties. </w:t>
            </w:r>
          </w:p>
        </w:tc>
      </w:tr>
      <w:tr w:rsidR="005113B3">
        <w:trPr>
          <w:trHeight w:val="460"/>
        </w:trPr>
        <w:tc>
          <w:tcPr>
            <w:tcW w:w="1560" w:type="dxa"/>
            <w:vMerge w:val="restart"/>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S</w:t>
            </w:r>
            <w:r>
              <w:rPr>
                <w:rFonts w:ascii="Arial Narrow" w:eastAsia="Arial Narrow" w:hAnsi="Arial Narrow" w:cs="Arial Narrow"/>
                <w:b/>
                <w:i/>
                <w:color w:val="000000"/>
                <w:sz w:val="20"/>
                <w:szCs w:val="20"/>
              </w:rPr>
              <w:t>cope:</w:t>
            </w:r>
          </w:p>
        </w:tc>
        <w:tc>
          <w:tcPr>
            <w:tcW w:w="6662"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Examples of in-scope records and information include but are not limited to:</w:t>
            </w:r>
          </w:p>
        </w:tc>
        <w:tc>
          <w:tcPr>
            <w:tcW w:w="1701"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u w:val="single"/>
              </w:rPr>
            </w:pPr>
            <w:r>
              <w:rPr>
                <w:rFonts w:ascii="Arial Narrow" w:eastAsia="Arial Narrow" w:hAnsi="Arial Narrow" w:cs="Arial Narrow"/>
                <w:color w:val="000000"/>
                <w:u w:val="single"/>
              </w:rPr>
              <w:t>Trigger Event (E):</w:t>
            </w:r>
          </w:p>
        </w:tc>
      </w:tr>
      <w:tr w:rsidR="005113B3">
        <w:trPr>
          <w:trHeight w:val="108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u w:val="single"/>
              </w:rPr>
            </w:pPr>
          </w:p>
        </w:tc>
        <w:tc>
          <w:tcPr>
            <w:tcW w:w="6662" w:type="dxa"/>
          </w:tcPr>
          <w:p w:rsidR="005113B3" w:rsidRDefault="00AC1D27">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 xml:space="preserve">Financial </w:t>
            </w:r>
            <w:r>
              <w:rPr>
                <w:rFonts w:ascii="Arial Narrow" w:eastAsia="Arial Narrow" w:hAnsi="Arial Narrow" w:cs="Arial Narrow"/>
                <w:b/>
                <w:color w:val="000000"/>
              </w:rPr>
              <w:t>policies, standards, operating procedures, accounting manuals</w:t>
            </w:r>
            <w:r>
              <w:rPr>
                <w:rFonts w:ascii="Arial Narrow" w:eastAsia="Arial Narrow" w:hAnsi="Arial Narrow" w:cs="Arial Narrow"/>
                <w:color w:val="000000"/>
              </w:rPr>
              <w:t>, fundraising accounting guidelines, administrative practices and training content. May also include supporting documents such as sign-off/approval documents, policy proposals, research papers, consultation documents, reports and annotated draft documents.</w:t>
            </w:r>
            <w:r>
              <w:rPr>
                <w:rFonts w:ascii="Arial Narrow" w:eastAsia="Arial Narrow" w:hAnsi="Arial Narrow" w:cs="Arial Narrow"/>
                <w:color w:val="000000"/>
              </w:rPr>
              <w:t xml:space="preserve"> (A)</w:t>
            </w:r>
          </w:p>
        </w:tc>
        <w:tc>
          <w:tcPr>
            <w:tcW w:w="1701"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Document rescinded, superseded or obsolete</w:t>
            </w:r>
          </w:p>
        </w:tc>
      </w:tr>
      <w:tr w:rsidR="005113B3">
        <w:trPr>
          <w:trHeight w:val="76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6662" w:type="dxa"/>
          </w:tcPr>
          <w:p w:rsidR="005113B3" w:rsidRDefault="00AC1D27">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Arial Narrow" w:eastAsia="Arial Narrow" w:hAnsi="Arial Narrow" w:cs="Arial Narrow"/>
                <w:color w:val="000000"/>
              </w:rPr>
            </w:pPr>
            <w:r>
              <w:rPr>
                <w:rFonts w:ascii="Arial Narrow" w:eastAsia="Arial Narrow" w:hAnsi="Arial Narrow" w:cs="Arial Narrow"/>
                <w:b/>
                <w:color w:val="000000"/>
              </w:rPr>
              <w:t>Audited financial statements</w:t>
            </w:r>
            <w:r>
              <w:rPr>
                <w:rFonts w:ascii="Arial Narrow" w:eastAsia="Arial Narrow" w:hAnsi="Arial Narrow" w:cs="Arial Narrow"/>
                <w:color w:val="000000"/>
              </w:rPr>
              <w:t>, including</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bound hard copies, electronic statements (Peoplesoft) and key supporting schedules and </w:t>
            </w:r>
            <w:r>
              <w:rPr>
                <w:rFonts w:ascii="Arial Narrow" w:eastAsia="Arial Narrow" w:hAnsi="Arial Narrow" w:cs="Arial Narrow"/>
              </w:rPr>
              <w:t>reports (eg. endowment, operating, ancillary, capital, research).</w:t>
            </w:r>
            <w:r>
              <w:rPr>
                <w:rFonts w:ascii="Arial Narrow" w:eastAsia="Arial Narrow" w:hAnsi="Arial Narrow" w:cs="Arial Narrow"/>
                <w:color w:val="000000"/>
              </w:rPr>
              <w:t>(A)</w:t>
            </w:r>
          </w:p>
        </w:tc>
        <w:tc>
          <w:tcPr>
            <w:tcW w:w="1701"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 xml:space="preserve">Life of university </w:t>
            </w:r>
          </w:p>
        </w:tc>
      </w:tr>
      <w:tr w:rsidR="005113B3">
        <w:trPr>
          <w:trHeight w:val="76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6662" w:type="dxa"/>
          </w:tcPr>
          <w:p w:rsidR="005113B3" w:rsidRDefault="00AC1D27">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Arial Narrow" w:eastAsia="Arial Narrow" w:hAnsi="Arial Narrow" w:cs="Arial Narrow"/>
                <w:color w:val="000000"/>
              </w:rPr>
            </w:pPr>
            <w:r>
              <w:rPr>
                <w:rFonts w:ascii="Arial Narrow" w:eastAsia="Arial Narrow" w:hAnsi="Arial Narrow" w:cs="Arial Narrow"/>
                <w:b/>
                <w:color w:val="000000"/>
              </w:rPr>
              <w:t>General ledgers</w:t>
            </w:r>
            <w:r>
              <w:rPr>
                <w:rFonts w:ascii="Arial Narrow" w:eastAsia="Arial Narrow" w:hAnsi="Arial Narrow" w:cs="Arial Narrow"/>
                <w:color w:val="000000"/>
              </w:rPr>
              <w:t>, including bound paper ledgers, electronic ledgers (e.g. Peoplesoft), journal entries, vouchers and reconciliations. (D)</w:t>
            </w:r>
          </w:p>
        </w:tc>
        <w:tc>
          <w:tcPr>
            <w:tcW w:w="1701"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Life of university</w:t>
            </w:r>
          </w:p>
        </w:tc>
      </w:tr>
      <w:tr w:rsidR="005113B3">
        <w:trPr>
          <w:trHeight w:val="68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6662" w:type="dxa"/>
          </w:tcPr>
          <w:p w:rsidR="005113B3" w:rsidRDefault="00AC1D27">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Arial Narrow" w:eastAsia="Arial Narrow" w:hAnsi="Arial Narrow" w:cs="Arial Narrow"/>
                <w:color w:val="000000"/>
              </w:rPr>
            </w:pPr>
            <w:r>
              <w:rPr>
                <w:rFonts w:ascii="Arial Narrow" w:eastAsia="Arial Narrow" w:hAnsi="Arial Narrow" w:cs="Arial Narrow"/>
                <w:b/>
                <w:color w:val="000000"/>
              </w:rPr>
              <w:t>Bank account set-up and maintenance records</w:t>
            </w:r>
            <w:r>
              <w:rPr>
                <w:rFonts w:ascii="Arial Narrow" w:eastAsia="Arial Narrow" w:hAnsi="Arial Narrow" w:cs="Arial Narrow"/>
                <w:color w:val="000000"/>
              </w:rPr>
              <w:t>, such as bank contracts/agreements (Electronic and hard copy versions). (D)</w:t>
            </w:r>
          </w:p>
        </w:tc>
        <w:tc>
          <w:tcPr>
            <w:tcW w:w="1701"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Closure of account</w:t>
            </w:r>
          </w:p>
        </w:tc>
      </w:tr>
      <w:tr w:rsidR="005113B3">
        <w:trPr>
          <w:trHeight w:val="68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6662" w:type="dxa"/>
          </w:tcPr>
          <w:p w:rsidR="005113B3" w:rsidRDefault="00AC1D27">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Arial Narrow" w:eastAsia="Arial Narrow" w:hAnsi="Arial Narrow" w:cs="Arial Narrow"/>
                <w:color w:val="000000"/>
              </w:rPr>
            </w:pPr>
            <w:r>
              <w:rPr>
                <w:rFonts w:ascii="Arial Narrow" w:eastAsia="Arial Narrow" w:hAnsi="Arial Narrow" w:cs="Arial Narrow"/>
                <w:b/>
                <w:color w:val="000000"/>
              </w:rPr>
              <w:t>Debt and borrowing records</w:t>
            </w:r>
            <w:r>
              <w:rPr>
                <w:rFonts w:ascii="Arial Narrow" w:eastAsia="Arial Narrow" w:hAnsi="Arial Narrow" w:cs="Arial Narrow"/>
                <w:color w:val="000000"/>
              </w:rPr>
              <w:t>, such as internal loan statements and supporting documentation, letters of credit, correspondence and other documents from underwriters, mortgages, mortgage statements, debentures, bond issuances, bond certificates, term sheets, memoranda of understanding</w:t>
            </w:r>
            <w:r>
              <w:rPr>
                <w:rFonts w:ascii="Arial Narrow" w:eastAsia="Arial Narrow" w:hAnsi="Arial Narrow" w:cs="Arial Narrow"/>
                <w:color w:val="000000"/>
              </w:rPr>
              <w:t xml:space="preserve"> (MOU), due diligence documentation, maturity schedules, closing books, discharge letters, Alberta Capital Finance Authority statements, long-term debt associated documentation, evaluation criteria, legal opinions and documentation </w:t>
            </w:r>
            <w:r>
              <w:rPr>
                <w:rFonts w:ascii="Arial Narrow" w:eastAsia="Arial Narrow" w:hAnsi="Arial Narrow" w:cs="Arial Narrow"/>
              </w:rPr>
              <w:t xml:space="preserve">for </w:t>
            </w:r>
            <w:r>
              <w:rPr>
                <w:rFonts w:ascii="Arial Narrow" w:eastAsia="Arial Narrow" w:hAnsi="Arial Narrow" w:cs="Arial Narrow"/>
                <w:color w:val="000000"/>
              </w:rPr>
              <w:t>administration of lo</w:t>
            </w:r>
            <w:r>
              <w:rPr>
                <w:rFonts w:ascii="Arial Narrow" w:eastAsia="Arial Narrow" w:hAnsi="Arial Narrow" w:cs="Arial Narrow"/>
                <w:color w:val="000000"/>
              </w:rPr>
              <w:t>an agreements. (D)</w:t>
            </w:r>
          </w:p>
        </w:tc>
        <w:tc>
          <w:tcPr>
            <w:tcW w:w="1701"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Maturity of debt / discharge of obligations</w:t>
            </w:r>
          </w:p>
        </w:tc>
      </w:tr>
      <w:tr w:rsidR="005113B3">
        <w:trPr>
          <w:trHeight w:val="96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6662" w:type="dxa"/>
          </w:tcPr>
          <w:p w:rsidR="005113B3" w:rsidRDefault="00AC1D27">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Arial Narrow" w:eastAsia="Arial Narrow" w:hAnsi="Arial Narrow" w:cs="Arial Narrow"/>
                <w:color w:val="000000"/>
              </w:rPr>
            </w:pPr>
            <w:r>
              <w:rPr>
                <w:rFonts w:ascii="Arial Narrow" w:eastAsia="Arial Narrow" w:hAnsi="Arial Narrow" w:cs="Arial Narrow"/>
                <w:b/>
                <w:color w:val="000000"/>
              </w:rPr>
              <w:t>Investment fund management records</w:t>
            </w:r>
            <w:r>
              <w:rPr>
                <w:rFonts w:ascii="Arial Narrow" w:eastAsia="Arial Narrow" w:hAnsi="Arial Narrow" w:cs="Arial Narrow"/>
                <w:color w:val="000000"/>
              </w:rPr>
              <w:t>, such as fund performance reports (monthly reports, quarterly reports, annual reports), fund statements, dividend statements, prospectuses, reports, information circulars, risk assessments, calculations, valuations, legal opinions, investment administrati</w:t>
            </w:r>
            <w:r>
              <w:rPr>
                <w:rFonts w:ascii="Arial Narrow" w:eastAsia="Arial Narrow" w:hAnsi="Arial Narrow" w:cs="Arial Narrow"/>
                <w:color w:val="000000"/>
              </w:rPr>
              <w:t>on correspondence/ supporting documentation, trade authorizations, maturities sell off, transaction confirmations, cash flow documentation and securities information. (D)</w:t>
            </w:r>
          </w:p>
        </w:tc>
        <w:tc>
          <w:tcPr>
            <w:tcW w:w="1701"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Sale or other disposition of investment</w:t>
            </w:r>
          </w:p>
        </w:tc>
      </w:tr>
      <w:tr w:rsidR="005113B3">
        <w:trPr>
          <w:trHeight w:val="104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6662" w:type="dxa"/>
          </w:tcPr>
          <w:p w:rsidR="005113B3" w:rsidRDefault="00AC1D27">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Arial Narrow" w:eastAsia="Arial Narrow" w:hAnsi="Arial Narrow" w:cs="Arial Narrow"/>
                <w:b/>
                <w:color w:val="000000"/>
              </w:rPr>
            </w:pPr>
            <w:r>
              <w:rPr>
                <w:rFonts w:ascii="Arial Narrow" w:eastAsia="Arial Narrow" w:hAnsi="Arial Narrow" w:cs="Arial Narrow"/>
                <w:b/>
                <w:color w:val="000000"/>
              </w:rPr>
              <w:t>Capital asset (building) accounting records</w:t>
            </w:r>
            <w:r>
              <w:rPr>
                <w:rFonts w:ascii="Arial Narrow" w:eastAsia="Arial Narrow" w:hAnsi="Arial Narrow" w:cs="Arial Narrow"/>
                <w:color w:val="000000"/>
              </w:rPr>
              <w:t>, such as building records (Operating and Restricted), inventory data, depreciation schedules, amortization information, valuations and calculations. (A)</w:t>
            </w:r>
          </w:p>
        </w:tc>
        <w:tc>
          <w:tcPr>
            <w:tcW w:w="1701"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Divestiture or demolition of building</w:t>
            </w:r>
          </w:p>
        </w:tc>
      </w:tr>
      <w:tr w:rsidR="005113B3">
        <w:trPr>
          <w:trHeight w:val="68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6662" w:type="dxa"/>
          </w:tcPr>
          <w:p w:rsidR="005113B3" w:rsidRDefault="00AC1D27">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Arial Narrow" w:eastAsia="Arial Narrow" w:hAnsi="Arial Narrow" w:cs="Arial Narrow"/>
                <w:color w:val="000000"/>
              </w:rPr>
            </w:pPr>
            <w:r>
              <w:rPr>
                <w:rFonts w:ascii="Arial Narrow" w:eastAsia="Arial Narrow" w:hAnsi="Arial Narrow" w:cs="Arial Narrow"/>
                <w:b/>
                <w:color w:val="000000"/>
              </w:rPr>
              <w:t>Capital asset (Learning Resources) accounting records</w:t>
            </w:r>
            <w:r>
              <w:rPr>
                <w:rFonts w:ascii="Arial Narrow" w:eastAsia="Arial Narrow" w:hAnsi="Arial Narrow" w:cs="Arial Narrow"/>
                <w:color w:val="000000"/>
              </w:rPr>
              <w:t>, such as library books and materials. (D)</w:t>
            </w:r>
          </w:p>
        </w:tc>
        <w:tc>
          <w:tcPr>
            <w:tcW w:w="1701"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Life of university</w:t>
            </w:r>
          </w:p>
        </w:tc>
      </w:tr>
      <w:tr w:rsidR="005113B3">
        <w:trPr>
          <w:trHeight w:val="80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6662" w:type="dxa"/>
          </w:tcPr>
          <w:p w:rsidR="005113B3" w:rsidRDefault="00AC1D27">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Arial Narrow" w:eastAsia="Arial Narrow" w:hAnsi="Arial Narrow" w:cs="Arial Narrow"/>
                <w:color w:val="000000"/>
              </w:rPr>
            </w:pPr>
            <w:r>
              <w:rPr>
                <w:rFonts w:ascii="Arial Narrow" w:eastAsia="Arial Narrow" w:hAnsi="Arial Narrow" w:cs="Arial Narrow"/>
                <w:b/>
                <w:color w:val="000000"/>
              </w:rPr>
              <w:t>Customer records</w:t>
            </w:r>
            <w:r>
              <w:rPr>
                <w:rFonts w:ascii="Arial Narrow" w:eastAsia="Arial Narrow" w:hAnsi="Arial Narrow" w:cs="Arial Narrow"/>
                <w:color w:val="000000"/>
              </w:rPr>
              <w:t xml:space="preserve"> (i.e. Research Sponsors), such as correspondence with research sponsors, background information. (D)</w:t>
            </w:r>
          </w:p>
        </w:tc>
        <w:tc>
          <w:tcPr>
            <w:tcW w:w="1701"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Termination of relationship with sponsor</w:t>
            </w:r>
          </w:p>
        </w:tc>
      </w:tr>
      <w:tr w:rsidR="005113B3">
        <w:trPr>
          <w:trHeight w:val="120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6662" w:type="dxa"/>
          </w:tcPr>
          <w:p w:rsidR="005113B3" w:rsidRDefault="00AC1D27">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Arial Narrow" w:eastAsia="Arial Narrow" w:hAnsi="Arial Narrow" w:cs="Arial Narrow"/>
                <w:color w:val="000000"/>
              </w:rPr>
            </w:pPr>
            <w:r>
              <w:rPr>
                <w:rFonts w:ascii="Arial Narrow" w:eastAsia="Arial Narrow" w:hAnsi="Arial Narrow" w:cs="Arial Narrow"/>
                <w:b/>
                <w:color w:val="000000"/>
              </w:rPr>
              <w:t>Donor files/financial history</w:t>
            </w:r>
            <w:r>
              <w:rPr>
                <w:rFonts w:ascii="Arial Narrow" w:eastAsia="Arial Narrow" w:hAnsi="Arial Narrow" w:cs="Arial Narrow"/>
                <w:color w:val="000000"/>
              </w:rPr>
              <w:t xml:space="preserve">, including, donation history, entrustment/ designation documents, donor letters/correspondence, directions from donors, gift cover sheets, discussion of fund allocation records, financial analysis and supporting documentation for financial endowment of a </w:t>
            </w:r>
            <w:r>
              <w:rPr>
                <w:rFonts w:ascii="Arial Narrow" w:eastAsia="Arial Narrow" w:hAnsi="Arial Narrow" w:cs="Arial Narrow"/>
                <w:color w:val="000000"/>
              </w:rPr>
              <w:t>specific donor. May also include financial transaction records related to a given donor (e.g. cheques, charitable tax receipts, fund reports, statements). (D)</w:t>
            </w:r>
          </w:p>
        </w:tc>
        <w:tc>
          <w:tcPr>
            <w:tcW w:w="1701"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Death or termination of relationship with donor</w:t>
            </w:r>
          </w:p>
        </w:tc>
      </w:tr>
      <w:tr w:rsidR="005113B3">
        <w:trPr>
          <w:trHeight w:val="70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6662" w:type="dxa"/>
          </w:tcPr>
          <w:p w:rsidR="005113B3" w:rsidRDefault="00AC1D27">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Arial Narrow" w:eastAsia="Arial Narrow" w:hAnsi="Arial Narrow" w:cs="Arial Narrow"/>
                <w:b/>
                <w:color w:val="000000"/>
              </w:rPr>
            </w:pPr>
            <w:r>
              <w:rPr>
                <w:rFonts w:ascii="Arial Narrow" w:eastAsia="Arial Narrow" w:hAnsi="Arial Narrow" w:cs="Arial Narrow"/>
                <w:b/>
                <w:color w:val="000000"/>
              </w:rPr>
              <w:t>Fundraising pledge records</w:t>
            </w:r>
            <w:r>
              <w:rPr>
                <w:rFonts w:ascii="Arial Narrow" w:eastAsia="Arial Narrow" w:hAnsi="Arial Narrow" w:cs="Arial Narrow"/>
                <w:color w:val="000000"/>
              </w:rPr>
              <w:t>, such as pledge data (e.g. Advance fundraising system), pledge schedules and reminder correspondence. (D)</w:t>
            </w:r>
          </w:p>
        </w:tc>
        <w:tc>
          <w:tcPr>
            <w:tcW w:w="1701"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Final payout or closure of pledge</w:t>
            </w:r>
          </w:p>
        </w:tc>
      </w:tr>
      <w:tr w:rsidR="005113B3">
        <w:trPr>
          <w:trHeight w:val="70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6662" w:type="dxa"/>
          </w:tcPr>
          <w:p w:rsidR="005113B3" w:rsidRDefault="00AC1D27">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Arial Narrow" w:eastAsia="Arial Narrow" w:hAnsi="Arial Narrow" w:cs="Arial Narrow"/>
                <w:color w:val="000000"/>
              </w:rPr>
            </w:pPr>
            <w:r>
              <w:rPr>
                <w:rFonts w:ascii="Arial Narrow" w:eastAsia="Arial Narrow" w:hAnsi="Arial Narrow" w:cs="Arial Narrow"/>
                <w:b/>
                <w:color w:val="000000"/>
              </w:rPr>
              <w:t>Financial analysis supporting bequest arrangements</w:t>
            </w:r>
            <w:r>
              <w:rPr>
                <w:rFonts w:ascii="Arial Narrow" w:eastAsia="Arial Narrow" w:hAnsi="Arial Narrow" w:cs="Arial Narrow"/>
                <w:color w:val="000000"/>
              </w:rPr>
              <w:t>, such as actuarial analysis records and house valuation records. (D)</w:t>
            </w:r>
          </w:p>
        </w:tc>
        <w:tc>
          <w:tcPr>
            <w:tcW w:w="1701"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Settlement of estate and final turnover of assets</w:t>
            </w:r>
          </w:p>
        </w:tc>
      </w:tr>
      <w:tr w:rsidR="005113B3">
        <w:trPr>
          <w:trHeight w:val="68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6662" w:type="dxa"/>
          </w:tcPr>
          <w:p w:rsidR="005113B3" w:rsidRDefault="00AC1D27">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Arial Narrow" w:eastAsia="Arial Narrow" w:hAnsi="Arial Narrow" w:cs="Arial Narrow"/>
                <w:color w:val="000000"/>
              </w:rPr>
            </w:pPr>
            <w:r>
              <w:rPr>
                <w:rFonts w:ascii="Arial Narrow" w:eastAsia="Arial Narrow" w:hAnsi="Arial Narrow" w:cs="Arial Narrow"/>
                <w:b/>
                <w:color w:val="000000"/>
              </w:rPr>
              <w:t>Annuity-related financial transaction records</w:t>
            </w:r>
            <w:r>
              <w:rPr>
                <w:rFonts w:ascii="Arial Narrow" w:eastAsia="Arial Narrow" w:hAnsi="Arial Narrow" w:cs="Arial Narrow"/>
                <w:color w:val="000000"/>
              </w:rPr>
              <w:t>, including annuity purchase records, annuity payment records, cheque requests, cheques. (D)</w:t>
            </w:r>
          </w:p>
        </w:tc>
        <w:tc>
          <w:tcPr>
            <w:tcW w:w="1701"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Final payout of annuity</w:t>
            </w:r>
          </w:p>
        </w:tc>
      </w:tr>
      <w:tr w:rsidR="005113B3">
        <w:trPr>
          <w:trHeight w:val="540"/>
        </w:trPr>
        <w:tc>
          <w:tcPr>
            <w:tcW w:w="1560" w:type="dxa"/>
            <w:vMerge/>
          </w:tcPr>
          <w:p w:rsidR="005113B3" w:rsidRDefault="005113B3">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6662" w:type="dxa"/>
          </w:tcPr>
          <w:p w:rsidR="005113B3" w:rsidRDefault="00AC1D27">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Arial Narrow" w:eastAsia="Arial Narrow" w:hAnsi="Arial Narrow" w:cs="Arial Narrow"/>
                <w:color w:val="000000"/>
              </w:rPr>
            </w:pPr>
            <w:r>
              <w:rPr>
                <w:rFonts w:ascii="Arial Narrow" w:eastAsia="Arial Narrow" w:hAnsi="Arial Narrow" w:cs="Arial Narrow"/>
                <w:b/>
                <w:color w:val="000000"/>
              </w:rPr>
              <w:t xml:space="preserve">Project budgets </w:t>
            </w:r>
            <w:r>
              <w:rPr>
                <w:rFonts w:ascii="Arial Narrow" w:eastAsia="Arial Narrow" w:hAnsi="Arial Narrow" w:cs="Arial Narrow"/>
                <w:color w:val="000000"/>
              </w:rPr>
              <w:t>and supporting documentation. (A)</w:t>
            </w:r>
          </w:p>
        </w:tc>
        <w:tc>
          <w:tcPr>
            <w:tcW w:w="1701"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Project close-out</w:t>
            </w:r>
          </w:p>
        </w:tc>
      </w:tr>
      <w:tr w:rsidR="005113B3">
        <w:trPr>
          <w:trHeight w:val="200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t>Exceptions:</w:t>
            </w:r>
          </w:p>
        </w:tc>
        <w:tc>
          <w:tcPr>
            <w:tcW w:w="8363" w:type="dxa"/>
            <w:gridSpan w:val="2"/>
          </w:tcPr>
          <w:p w:rsidR="005113B3" w:rsidRDefault="00AC1D27">
            <w:pPr>
              <w:numPr>
                <w:ilvl w:val="0"/>
                <w:numId w:val="2"/>
              </w:numPr>
              <w:pBdr>
                <w:top w:val="nil"/>
                <w:left w:val="nil"/>
                <w:bottom w:val="nil"/>
                <w:right w:val="nil"/>
                <w:between w:val="nil"/>
              </w:pBdr>
              <w:spacing w:before="60" w:after="60" w:line="276" w:lineRule="auto"/>
            </w:pPr>
            <w:r>
              <w:rPr>
                <w:rFonts w:ascii="Arial Narrow" w:eastAsia="Arial Narrow" w:hAnsi="Arial Narrow" w:cs="Arial Narrow"/>
                <w:color w:val="000000"/>
              </w:rPr>
              <w:t xml:space="preserve">Where a research fund involves a </w:t>
            </w:r>
            <w:r>
              <w:rPr>
                <w:rFonts w:ascii="Arial Narrow" w:eastAsia="Arial Narrow" w:hAnsi="Arial Narrow" w:cs="Arial Narrow"/>
                <w:b/>
                <w:color w:val="000000"/>
              </w:rPr>
              <w:t>clinical trial</w:t>
            </w:r>
            <w:r>
              <w:rPr>
                <w:rFonts w:ascii="Arial Narrow" w:eastAsia="Arial Narrow" w:hAnsi="Arial Narrow" w:cs="Arial Narrow"/>
                <w:color w:val="000000"/>
              </w:rPr>
              <w:t xml:space="preserve">, any records necessary to "document the financial agreement between the investigator/institution and the sponsor for the trial" shall be retained for 25 years, as specified by Health Canada's </w:t>
            </w:r>
            <w:r>
              <w:rPr>
                <w:rFonts w:ascii="Arial Narrow" w:eastAsia="Arial Narrow" w:hAnsi="Arial Narrow" w:cs="Arial Narrow"/>
                <w:i/>
                <w:color w:val="000000"/>
              </w:rPr>
              <w:t xml:space="preserve">Guidance for Records Related to Clinical Trials (GUIDE-0068) </w:t>
            </w:r>
            <w:r>
              <w:rPr>
                <w:rFonts w:ascii="Arial Narrow" w:eastAsia="Arial Narrow" w:hAnsi="Arial Narrow" w:cs="Arial Narrow"/>
                <w:color w:val="000000"/>
              </w:rPr>
              <w:t>an</w:t>
            </w:r>
            <w:r>
              <w:rPr>
                <w:rFonts w:ascii="Arial Narrow" w:eastAsia="Arial Narrow" w:hAnsi="Arial Narrow" w:cs="Arial Narrow"/>
                <w:color w:val="000000"/>
              </w:rPr>
              <w:t>d aligned with the Food and Drug Regulations, CRC, c 870, s. C.05.012 (1).</w:t>
            </w:r>
          </w:p>
          <w:p w:rsidR="005113B3" w:rsidRDefault="00AC1D27">
            <w:pPr>
              <w:numPr>
                <w:ilvl w:val="0"/>
                <w:numId w:val="2"/>
              </w:numPr>
              <w:pBdr>
                <w:top w:val="nil"/>
                <w:left w:val="nil"/>
                <w:bottom w:val="nil"/>
                <w:right w:val="nil"/>
                <w:between w:val="nil"/>
              </w:pBdr>
              <w:spacing w:before="60" w:after="60" w:line="276" w:lineRule="auto"/>
              <w:rPr>
                <w:color w:val="000000"/>
              </w:rPr>
            </w:pPr>
            <w:r>
              <w:rPr>
                <w:rFonts w:ascii="Arial Narrow" w:eastAsia="Arial Narrow" w:hAnsi="Arial Narrow" w:cs="Arial Narrow"/>
                <w:color w:val="000000"/>
              </w:rPr>
              <w:t>Payment card information (PCI) and Personally Identifiable Information (PII) may be purged at an earlier date where necessary to comply with data security standards and/or privacy l</w:t>
            </w:r>
            <w:r>
              <w:rPr>
                <w:rFonts w:ascii="Arial Narrow" w:eastAsia="Arial Narrow" w:hAnsi="Arial Narrow" w:cs="Arial Narrow"/>
                <w:color w:val="000000"/>
              </w:rPr>
              <w:t>egislation.</w:t>
            </w:r>
          </w:p>
        </w:tc>
      </w:tr>
      <w:tr w:rsidR="005113B3">
        <w:trPr>
          <w:trHeight w:val="154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i/>
                <w:color w:val="000000"/>
              </w:rPr>
            </w:pPr>
            <w:r>
              <w:rPr>
                <w:rFonts w:ascii="Arial Narrow" w:eastAsia="Arial Narrow" w:hAnsi="Arial Narrow" w:cs="Arial Narrow"/>
                <w:b/>
                <w:i/>
                <w:color w:val="000000"/>
                <w:sz w:val="20"/>
                <w:szCs w:val="20"/>
              </w:rPr>
              <w:t>Excludes:</w:t>
            </w:r>
          </w:p>
        </w:tc>
        <w:tc>
          <w:tcPr>
            <w:tcW w:w="8363" w:type="dxa"/>
            <w:gridSpan w:val="2"/>
          </w:tcPr>
          <w:p w:rsidR="005113B3" w:rsidRDefault="00AC1D27">
            <w:pPr>
              <w:numPr>
                <w:ilvl w:val="0"/>
                <w:numId w:val="2"/>
              </w:numPr>
              <w:pBdr>
                <w:top w:val="nil"/>
                <w:left w:val="nil"/>
                <w:bottom w:val="nil"/>
                <w:right w:val="nil"/>
                <w:between w:val="nil"/>
              </w:pBdr>
              <w:spacing w:before="60" w:after="60" w:line="276" w:lineRule="auto"/>
              <w:rPr>
                <w:color w:val="000000"/>
              </w:rPr>
            </w:pPr>
            <w:r>
              <w:rPr>
                <w:rFonts w:ascii="Arial Narrow" w:eastAsia="Arial Narrow" w:hAnsi="Arial Narrow" w:cs="Arial Narrow"/>
                <w:color w:val="000000"/>
              </w:rPr>
              <w:t>General ledger subsidiary tables and other supporting details (use FI-6).</w:t>
            </w:r>
          </w:p>
          <w:p w:rsidR="005113B3" w:rsidRDefault="00AC1D27">
            <w:pPr>
              <w:numPr>
                <w:ilvl w:val="0"/>
                <w:numId w:val="2"/>
              </w:numPr>
              <w:pBdr>
                <w:top w:val="nil"/>
                <w:left w:val="nil"/>
                <w:bottom w:val="nil"/>
                <w:right w:val="nil"/>
                <w:between w:val="nil"/>
              </w:pBdr>
              <w:spacing w:before="60" w:after="60" w:line="276" w:lineRule="auto"/>
              <w:rPr>
                <w:color w:val="000000"/>
              </w:rPr>
            </w:pPr>
            <w:r>
              <w:rPr>
                <w:rFonts w:ascii="Arial Narrow" w:eastAsia="Arial Narrow" w:hAnsi="Arial Narrow" w:cs="Arial Narrow"/>
                <w:color w:val="000000"/>
              </w:rPr>
              <w:t>Invoices, receipts and other transaction records related to learning resources (use FI-6).</w:t>
            </w:r>
          </w:p>
          <w:p w:rsidR="005113B3" w:rsidRDefault="00AC1D27">
            <w:pPr>
              <w:numPr>
                <w:ilvl w:val="0"/>
                <w:numId w:val="2"/>
              </w:numPr>
              <w:pBdr>
                <w:top w:val="nil"/>
                <w:left w:val="nil"/>
                <w:bottom w:val="nil"/>
                <w:right w:val="nil"/>
                <w:between w:val="nil"/>
              </w:pBdr>
              <w:spacing w:before="60" w:after="60" w:line="276" w:lineRule="auto"/>
              <w:rPr>
                <w:color w:val="000000"/>
              </w:rPr>
            </w:pPr>
            <w:r>
              <w:rPr>
                <w:rFonts w:ascii="Arial Narrow" w:eastAsia="Arial Narrow" w:hAnsi="Arial Narrow" w:cs="Arial Narrow"/>
                <w:color w:val="000000"/>
              </w:rPr>
              <w:t>Legal agreements and case files (use applicable Records Retention Sc</w:t>
            </w:r>
            <w:r>
              <w:rPr>
                <w:rFonts w:ascii="Arial Narrow" w:eastAsia="Arial Narrow" w:hAnsi="Arial Narrow" w:cs="Arial Narrow"/>
                <w:color w:val="000000"/>
              </w:rPr>
              <w:t>hedule under LE – Legal).</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Terms and conditions, statements of trust and other endowment-related legal documents (use applicable Records Retention Schedule under AD – Advancement).</w:t>
            </w:r>
          </w:p>
          <w:p w:rsidR="005113B3" w:rsidRDefault="00AC1D27">
            <w:pPr>
              <w:numPr>
                <w:ilvl w:val="0"/>
                <w:numId w:val="2"/>
              </w:numPr>
              <w:pBdr>
                <w:top w:val="nil"/>
                <w:left w:val="nil"/>
                <w:bottom w:val="nil"/>
                <w:right w:val="nil"/>
                <w:between w:val="nil"/>
              </w:pBdr>
              <w:spacing w:before="60" w:after="60" w:line="276" w:lineRule="auto"/>
            </w:pPr>
            <w:r>
              <w:rPr>
                <w:rFonts w:ascii="Arial Narrow" w:eastAsia="Arial Narrow" w:hAnsi="Arial Narrow" w:cs="Arial Narrow"/>
                <w:color w:val="000000"/>
              </w:rPr>
              <w:t>Wills and other documents supporting bequest arrangements (use applicable Records Retention Schedule under AD – Advancement).</w:t>
            </w:r>
          </w:p>
        </w:tc>
      </w:tr>
      <w:tr w:rsidR="005113B3">
        <w:trPr>
          <w:trHeight w:val="580"/>
        </w:trPr>
        <w:tc>
          <w:tcPr>
            <w:tcW w:w="1560" w:type="dxa"/>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b/>
                <w:i/>
                <w:color w:val="000000"/>
                <w:sz w:val="20"/>
                <w:szCs w:val="20"/>
              </w:rPr>
            </w:pPr>
            <w:r>
              <w:rPr>
                <w:rFonts w:ascii="Arial Narrow" w:eastAsia="Arial Narrow" w:hAnsi="Arial Narrow" w:cs="Arial Narrow"/>
                <w:b/>
                <w:i/>
                <w:color w:val="000000"/>
                <w:sz w:val="20"/>
                <w:szCs w:val="20"/>
              </w:rPr>
              <w:lastRenderedPageBreak/>
              <w:t>Final Disposition</w:t>
            </w:r>
          </w:p>
        </w:tc>
        <w:tc>
          <w:tcPr>
            <w:tcW w:w="8363" w:type="dxa"/>
            <w:gridSpan w:val="2"/>
          </w:tcPr>
          <w:p w:rsidR="005113B3" w:rsidRDefault="00AC1D27">
            <w:p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Itemized above:</w:t>
            </w:r>
          </w:p>
          <w:p w:rsidR="005113B3" w:rsidRDefault="00AC1D27">
            <w:pPr>
              <w:numPr>
                <w:ilvl w:val="0"/>
                <w:numId w:val="2"/>
              </w:numPr>
              <w:pBdr>
                <w:top w:val="nil"/>
                <w:left w:val="nil"/>
                <w:bottom w:val="nil"/>
                <w:right w:val="nil"/>
                <w:between w:val="nil"/>
              </w:pBdr>
              <w:spacing w:before="60" w:after="60" w:line="276" w:lineRule="auto"/>
              <w:rPr>
                <w:rFonts w:ascii="Arial Narrow" w:eastAsia="Arial Narrow" w:hAnsi="Arial Narrow" w:cs="Arial Narrow"/>
                <w:color w:val="000000"/>
              </w:rPr>
            </w:pPr>
            <w:r>
              <w:rPr>
                <w:rFonts w:ascii="Arial Narrow" w:eastAsia="Arial Narrow" w:hAnsi="Arial Narrow" w:cs="Arial Narrow"/>
                <w:color w:val="000000"/>
              </w:rPr>
              <w:t>D = Destroy or delete</w:t>
            </w:r>
          </w:p>
          <w:p w:rsidR="005113B3" w:rsidRDefault="00AC1D27">
            <w:pPr>
              <w:numPr>
                <w:ilvl w:val="0"/>
                <w:numId w:val="2"/>
              </w:numPr>
              <w:pBdr>
                <w:top w:val="nil"/>
                <w:left w:val="nil"/>
                <w:bottom w:val="nil"/>
                <w:right w:val="nil"/>
                <w:between w:val="nil"/>
              </w:pBdr>
              <w:spacing w:before="60" w:after="60" w:line="276" w:lineRule="auto"/>
            </w:pPr>
            <w:r>
              <w:rPr>
                <w:rFonts w:ascii="Arial Narrow" w:eastAsia="Arial Narrow" w:hAnsi="Arial Narrow" w:cs="Arial Narrow"/>
                <w:color w:val="000000"/>
              </w:rPr>
              <w:t>A = Transfer to University Archives, subject to archival review</w:t>
            </w:r>
          </w:p>
        </w:tc>
      </w:tr>
    </w:tbl>
    <w:p w:rsidR="005113B3" w:rsidRDefault="005113B3">
      <w:pPr>
        <w:pBdr>
          <w:top w:val="nil"/>
          <w:left w:val="nil"/>
          <w:bottom w:val="nil"/>
          <w:right w:val="nil"/>
          <w:between w:val="nil"/>
        </w:pBdr>
        <w:spacing w:before="60" w:after="60"/>
        <w:rPr>
          <w:rFonts w:ascii="Arial Narrow" w:eastAsia="Arial Narrow" w:hAnsi="Arial Narrow" w:cs="Arial Narrow"/>
          <w:color w:val="000000"/>
        </w:rPr>
      </w:pPr>
    </w:p>
    <w:sectPr w:rsidR="005113B3">
      <w:headerReference w:type="default" r:id="rId8"/>
      <w:footerReference w:type="default" r:id="rId9"/>
      <w:headerReference w:type="first" r:id="rId10"/>
      <w:pgSz w:w="12240" w:h="15840"/>
      <w:pgMar w:top="1440" w:right="1440" w:bottom="1440" w:left="1440" w:header="345" w:footer="705"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1D27">
      <w:pPr>
        <w:spacing w:after="0" w:line="240" w:lineRule="auto"/>
      </w:pPr>
      <w:r>
        <w:separator/>
      </w:r>
    </w:p>
  </w:endnote>
  <w:endnote w:type="continuationSeparator" w:id="0">
    <w:p w:rsidR="00000000" w:rsidRDefault="00AC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B3" w:rsidRDefault="005113B3">
    <w:pPr>
      <w:pBdr>
        <w:top w:val="nil"/>
        <w:left w:val="nil"/>
        <w:bottom w:val="nil"/>
        <w:right w:val="nil"/>
        <w:between w:val="nil"/>
      </w:pBdr>
      <w:tabs>
        <w:tab w:val="center" w:pos="4680"/>
        <w:tab w:val="right" w:pos="9360"/>
      </w:tabs>
      <w:spacing w:after="0" w:line="240" w:lineRule="auto"/>
      <w:rPr>
        <w:color w:val="000000"/>
      </w:rPr>
    </w:pPr>
  </w:p>
  <w:p w:rsidR="005113B3" w:rsidRDefault="005113B3">
    <w:pPr>
      <w:pBdr>
        <w:top w:val="nil"/>
        <w:left w:val="nil"/>
        <w:bottom w:val="nil"/>
        <w:right w:val="nil"/>
        <w:between w:val="nil"/>
      </w:pBdr>
      <w:tabs>
        <w:tab w:val="center" w:pos="4680"/>
        <w:tab w:val="right" w:pos="9360"/>
      </w:tabs>
      <w:spacing w:after="0" w:line="240" w:lineRule="auto"/>
      <w:rPr>
        <w:rFonts w:ascii="Arial Narrow" w:eastAsia="Arial Narrow" w:hAnsi="Arial Narrow" w:cs="Arial Narrow"/>
      </w:rPr>
    </w:pPr>
  </w:p>
  <w:p w:rsidR="005113B3" w:rsidRDefault="00AC1D27">
    <w:pPr>
      <w:pBdr>
        <w:top w:val="nil"/>
        <w:left w:val="nil"/>
        <w:bottom w:val="nil"/>
        <w:right w:val="nil"/>
        <w:between w:val="nil"/>
      </w:pBdr>
      <w:tabs>
        <w:tab w:val="center" w:pos="4680"/>
        <w:tab w:val="right" w:pos="9360"/>
      </w:tabs>
      <w:spacing w:after="0" w:line="240" w:lineRule="auto"/>
      <w:rPr>
        <w:rFonts w:ascii="Arial Narrow" w:eastAsia="Arial Narrow" w:hAnsi="Arial Narrow" w:cs="Arial Narrow"/>
      </w:rPr>
    </w:pPr>
    <w:r>
      <w:pict>
        <v:rect id="_x0000_i1025" style="width:0;height:1.5pt" o:hralign="center" o:hrstd="t" o:hr="t" fillcolor="#a0a0a0" stroked="f"/>
      </w:pict>
    </w:r>
  </w:p>
  <w:p w:rsidR="005113B3" w:rsidRDefault="00AC1D27">
    <w:pPr>
      <w:pBdr>
        <w:top w:val="nil"/>
        <w:left w:val="nil"/>
        <w:bottom w:val="nil"/>
        <w:right w:val="nil"/>
        <w:between w:val="nil"/>
      </w:pBdr>
      <w:tabs>
        <w:tab w:val="center" w:pos="4680"/>
        <w:tab w:val="right" w:pos="9360"/>
      </w:tabs>
      <w:spacing w:after="0" w:line="240" w:lineRule="auto"/>
      <w:rPr>
        <w:color w:val="000000"/>
      </w:rPr>
    </w:pPr>
    <w:r>
      <w:rPr>
        <w:rFonts w:ascii="Arial Narrow" w:eastAsia="Arial Narrow" w:hAnsi="Arial Narrow" w:cs="Arial Narrow"/>
      </w:rPr>
      <w:t>Financial Management (FI) Records Retention Schedule - May 13, 2019</w:t>
    </w:r>
    <w:r>
      <w:rPr>
        <w:rFonts w:ascii="Arial Narrow" w:eastAsia="Arial Narrow" w:hAnsi="Arial Narrow" w:cs="Arial Narrow"/>
        <w:color w:val="000000"/>
      </w:rPr>
      <w:tab/>
      <w:t xml:space="preserve">Page </w:t>
    </w: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Pr>
        <w:rFonts w:ascii="Arial Narrow" w:eastAsia="Arial Narrow" w:hAnsi="Arial Narrow" w:cs="Arial Narrow"/>
        <w:noProof/>
        <w:color w:val="000000"/>
      </w:rPr>
      <w:t>2</w:t>
    </w:r>
    <w:r>
      <w:rPr>
        <w:rFonts w:ascii="Arial Narrow" w:eastAsia="Arial Narrow" w:hAnsi="Arial Narrow" w:cs="Arial Narrow"/>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1D27">
      <w:pPr>
        <w:spacing w:after="0" w:line="240" w:lineRule="auto"/>
      </w:pPr>
      <w:r>
        <w:separator/>
      </w:r>
    </w:p>
  </w:footnote>
  <w:footnote w:type="continuationSeparator" w:id="0">
    <w:p w:rsidR="00000000" w:rsidRDefault="00AC1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B3" w:rsidRDefault="005113B3">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B3" w:rsidRDefault="00AC1D27">
    <w:pPr>
      <w:pBdr>
        <w:top w:val="nil"/>
        <w:left w:val="nil"/>
        <w:bottom w:val="nil"/>
        <w:right w:val="nil"/>
        <w:between w:val="nil"/>
      </w:pBdr>
      <w:tabs>
        <w:tab w:val="center" w:pos="4680"/>
        <w:tab w:val="right" w:pos="9360"/>
      </w:tabs>
      <w:spacing w:after="0" w:line="240" w:lineRule="auto"/>
      <w:rPr>
        <w:color w:val="000000"/>
      </w:rPr>
    </w:pPr>
    <w:r>
      <w:rPr>
        <w:noProof/>
        <w:lang w:val="en-US"/>
      </w:rPr>
      <w:drawing>
        <wp:anchor distT="0" distB="0" distL="0" distR="0" simplePos="0" relativeHeight="251658240" behindDoc="0" locked="0" layoutInCell="1" hidden="0" allowOverlap="1">
          <wp:simplePos x="0" y="0"/>
          <wp:positionH relativeFrom="column">
            <wp:posOffset>-1009649</wp:posOffset>
          </wp:positionH>
          <wp:positionV relativeFrom="paragraph">
            <wp:posOffset>-447674</wp:posOffset>
          </wp:positionV>
          <wp:extent cx="7843838" cy="1304925"/>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43838" cy="13049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88E"/>
    <w:multiLevelType w:val="multilevel"/>
    <w:tmpl w:val="33E8CD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673325"/>
    <w:multiLevelType w:val="multilevel"/>
    <w:tmpl w:val="7E74C3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EFA6ECC"/>
    <w:multiLevelType w:val="multilevel"/>
    <w:tmpl w:val="A378B36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9EE73E1"/>
    <w:multiLevelType w:val="multilevel"/>
    <w:tmpl w:val="85626E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B4A3CBB"/>
    <w:multiLevelType w:val="multilevel"/>
    <w:tmpl w:val="0B68E8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B3"/>
    <w:rsid w:val="005113B3"/>
    <w:rsid w:val="00AC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CF58494-4520-49AA-904C-34D46AC6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04F"/>
  </w:style>
  <w:style w:type="paragraph" w:styleId="Heading1">
    <w:name w:val="heading 1"/>
    <w:basedOn w:val="Normal1"/>
    <w:next w:val="Normal1"/>
    <w:rsid w:val="003447F9"/>
    <w:pPr>
      <w:keepNext/>
      <w:keepLines/>
      <w:spacing w:before="480" w:after="120"/>
      <w:outlineLvl w:val="0"/>
    </w:pPr>
    <w:rPr>
      <w:b/>
      <w:sz w:val="48"/>
      <w:szCs w:val="48"/>
    </w:rPr>
  </w:style>
  <w:style w:type="paragraph" w:styleId="Heading2">
    <w:name w:val="heading 2"/>
    <w:basedOn w:val="Normal1"/>
    <w:next w:val="Normal1"/>
    <w:rsid w:val="003447F9"/>
    <w:pPr>
      <w:keepNext/>
      <w:keepLines/>
      <w:spacing w:before="360" w:after="80"/>
      <w:outlineLvl w:val="1"/>
    </w:pPr>
    <w:rPr>
      <w:b/>
      <w:sz w:val="36"/>
      <w:szCs w:val="36"/>
    </w:rPr>
  </w:style>
  <w:style w:type="paragraph" w:styleId="Heading3">
    <w:name w:val="heading 3"/>
    <w:basedOn w:val="Normal1"/>
    <w:next w:val="Normal1"/>
    <w:rsid w:val="003447F9"/>
    <w:pPr>
      <w:keepNext/>
      <w:keepLines/>
      <w:spacing w:before="280" w:after="80"/>
      <w:outlineLvl w:val="2"/>
    </w:pPr>
    <w:rPr>
      <w:b/>
      <w:sz w:val="28"/>
      <w:szCs w:val="28"/>
    </w:rPr>
  </w:style>
  <w:style w:type="paragraph" w:styleId="Heading4">
    <w:name w:val="heading 4"/>
    <w:basedOn w:val="Normal1"/>
    <w:next w:val="Normal1"/>
    <w:rsid w:val="003447F9"/>
    <w:pPr>
      <w:keepNext/>
      <w:keepLines/>
      <w:spacing w:before="240" w:after="40"/>
      <w:outlineLvl w:val="3"/>
    </w:pPr>
    <w:rPr>
      <w:b/>
      <w:sz w:val="24"/>
      <w:szCs w:val="24"/>
    </w:rPr>
  </w:style>
  <w:style w:type="paragraph" w:styleId="Heading5">
    <w:name w:val="heading 5"/>
    <w:basedOn w:val="Normal1"/>
    <w:next w:val="Normal1"/>
    <w:rsid w:val="003447F9"/>
    <w:pPr>
      <w:keepNext/>
      <w:keepLines/>
      <w:spacing w:before="220" w:after="40"/>
      <w:outlineLvl w:val="4"/>
    </w:pPr>
    <w:rPr>
      <w:b/>
    </w:rPr>
  </w:style>
  <w:style w:type="paragraph" w:styleId="Heading6">
    <w:name w:val="heading 6"/>
    <w:basedOn w:val="Normal1"/>
    <w:next w:val="Normal1"/>
    <w:rsid w:val="003447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3447F9"/>
    <w:pPr>
      <w:keepNext/>
      <w:keepLines/>
      <w:spacing w:before="480" w:after="120"/>
    </w:pPr>
    <w:rPr>
      <w:b/>
      <w:sz w:val="72"/>
      <w:szCs w:val="72"/>
    </w:rPr>
  </w:style>
  <w:style w:type="paragraph" w:customStyle="1" w:styleId="Normal1">
    <w:name w:val="Normal1"/>
    <w:rsid w:val="003447F9"/>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3447F9"/>
    <w:pPr>
      <w:spacing w:after="0" w:line="240" w:lineRule="auto"/>
    </w:pPr>
    <w:tblPr>
      <w:tblStyleRowBandSize w:val="1"/>
      <w:tblStyleColBandSize w:val="1"/>
    </w:tblPr>
  </w:style>
  <w:style w:type="table" w:customStyle="1" w:styleId="a0">
    <w:basedOn w:val="TableNormal"/>
    <w:rsid w:val="003447F9"/>
    <w:pPr>
      <w:spacing w:after="0" w:line="240" w:lineRule="auto"/>
    </w:pPr>
    <w:tblPr>
      <w:tblStyleRowBandSize w:val="1"/>
      <w:tblStyleColBandSize w:val="1"/>
    </w:tblPr>
  </w:style>
  <w:style w:type="table" w:customStyle="1" w:styleId="a1">
    <w:basedOn w:val="TableNormal"/>
    <w:rsid w:val="003447F9"/>
    <w:pPr>
      <w:spacing w:after="0" w:line="240" w:lineRule="auto"/>
    </w:pPr>
    <w:tblPr>
      <w:tblStyleRowBandSize w:val="1"/>
      <w:tblStyleColBandSize w:val="1"/>
    </w:tblPr>
  </w:style>
  <w:style w:type="table" w:customStyle="1" w:styleId="a2">
    <w:basedOn w:val="TableNormal"/>
    <w:rsid w:val="003447F9"/>
    <w:pPr>
      <w:spacing w:after="0" w:line="240" w:lineRule="auto"/>
    </w:pPr>
    <w:tblPr>
      <w:tblStyleRowBandSize w:val="1"/>
      <w:tblStyleColBandSize w:val="1"/>
    </w:tblPr>
  </w:style>
  <w:style w:type="table" w:customStyle="1" w:styleId="a3">
    <w:basedOn w:val="TableNormal"/>
    <w:rsid w:val="003447F9"/>
    <w:pPr>
      <w:spacing w:after="0" w:line="240" w:lineRule="auto"/>
    </w:pPr>
    <w:tblPr>
      <w:tblStyleRowBandSize w:val="1"/>
      <w:tblStyleColBandSize w:val="1"/>
    </w:tblPr>
  </w:style>
  <w:style w:type="table" w:customStyle="1" w:styleId="a4">
    <w:basedOn w:val="TableNormal"/>
    <w:rsid w:val="003447F9"/>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3447F9"/>
    <w:pPr>
      <w:spacing w:line="240" w:lineRule="auto"/>
    </w:pPr>
    <w:rPr>
      <w:sz w:val="20"/>
      <w:szCs w:val="20"/>
    </w:rPr>
  </w:style>
  <w:style w:type="character" w:customStyle="1" w:styleId="CommentTextChar">
    <w:name w:val="Comment Text Char"/>
    <w:basedOn w:val="DefaultParagraphFont"/>
    <w:link w:val="CommentText"/>
    <w:uiPriority w:val="99"/>
    <w:semiHidden/>
    <w:rsid w:val="003447F9"/>
    <w:rPr>
      <w:sz w:val="20"/>
      <w:szCs w:val="20"/>
    </w:rPr>
  </w:style>
  <w:style w:type="character" w:styleId="CommentReference">
    <w:name w:val="annotation reference"/>
    <w:basedOn w:val="DefaultParagraphFont"/>
    <w:uiPriority w:val="99"/>
    <w:semiHidden/>
    <w:unhideWhenUsed/>
    <w:rsid w:val="003447F9"/>
    <w:rPr>
      <w:sz w:val="16"/>
      <w:szCs w:val="16"/>
    </w:rPr>
  </w:style>
  <w:style w:type="paragraph" w:styleId="BalloonText">
    <w:name w:val="Balloon Text"/>
    <w:basedOn w:val="Normal"/>
    <w:link w:val="BalloonTextChar"/>
    <w:uiPriority w:val="99"/>
    <w:semiHidden/>
    <w:unhideWhenUsed/>
    <w:rsid w:val="00C85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EE"/>
    <w:rPr>
      <w:rFonts w:ascii="Tahoma" w:hAnsi="Tahoma" w:cs="Tahoma"/>
      <w:sz w:val="16"/>
      <w:szCs w:val="16"/>
    </w:rPr>
  </w:style>
  <w:style w:type="paragraph" w:styleId="Header">
    <w:name w:val="header"/>
    <w:basedOn w:val="Normal"/>
    <w:link w:val="HeaderChar"/>
    <w:uiPriority w:val="99"/>
    <w:unhideWhenUsed/>
    <w:rsid w:val="00426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40"/>
  </w:style>
  <w:style w:type="paragraph" w:styleId="Footer">
    <w:name w:val="footer"/>
    <w:basedOn w:val="Normal"/>
    <w:link w:val="FooterChar"/>
    <w:uiPriority w:val="99"/>
    <w:unhideWhenUsed/>
    <w:rsid w:val="00426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40"/>
  </w:style>
  <w:style w:type="paragraph" w:styleId="ListParagraph">
    <w:name w:val="List Paragraph"/>
    <w:basedOn w:val="Normal"/>
    <w:uiPriority w:val="34"/>
    <w:qFormat/>
    <w:rsid w:val="00BB4A1B"/>
    <w:pPr>
      <w:ind w:left="720"/>
      <w:contextualSpacing/>
    </w:pPr>
    <w:rPr>
      <w:rFonts w:asciiTheme="minorHAnsi" w:eastAsiaTheme="minorHAnsi" w:hAnsiTheme="minorHAnsi" w:cstheme="minorBidi"/>
    </w:rPr>
  </w:style>
  <w:style w:type="table" w:styleId="TableGrid">
    <w:name w:val="Table Grid"/>
    <w:basedOn w:val="TableNormal"/>
    <w:uiPriority w:val="59"/>
    <w:rsid w:val="00DE3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eE2usAv2RwUrkiPQYEmhiWCn2w==">AMUW2mXnR2ZojXdugHEWG7rVI7iMe8ekL/uhH+28qPJ6SW9nQVjY7H4M/jbcWHhJtCxkbE/JmzVINOrLIf13/OpPIZcVAhzkSph0g5I5iqe7HcOuOgHoWjAK272cZ3mPqLB90407iHT2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Pearce</dc:creator>
  <cp:lastModifiedBy>eyahn</cp:lastModifiedBy>
  <cp:revision>2</cp:revision>
  <dcterms:created xsi:type="dcterms:W3CDTF">2019-07-16T21:11:00Z</dcterms:created>
  <dcterms:modified xsi:type="dcterms:W3CDTF">2019-07-16T21:11:00Z</dcterms:modified>
</cp:coreProperties>
</file>